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4F5BAC" w:rsidRDefault="004F5BAC" w:rsidP="0006079E">
      <w:pPr>
        <w:jc w:val="center"/>
      </w:pPr>
    </w:p>
    <w:p w:rsidR="004F5BAC" w:rsidRPr="004F5BAC" w:rsidRDefault="004F5BAC" w:rsidP="004F5BAC">
      <w:pPr>
        <w:jc w:val="center"/>
        <w:rPr>
          <w:b/>
        </w:rPr>
      </w:pPr>
      <w:r w:rsidRPr="004F5BAC">
        <w:rPr>
          <w:b/>
        </w:rPr>
        <w:t xml:space="preserve">KLAIPĖDOS MIESTO SAVIVALDYBĖS </w:t>
      </w:r>
    </w:p>
    <w:p w:rsidR="004F5BAC" w:rsidRPr="004F5BAC" w:rsidRDefault="004F5BAC" w:rsidP="004F5BAC">
      <w:pPr>
        <w:jc w:val="center"/>
        <w:rPr>
          <w:b/>
        </w:rPr>
      </w:pPr>
      <w:r w:rsidRPr="004F5BAC">
        <w:rPr>
          <w:b/>
        </w:rPr>
        <w:t>SUBALANSUOTO TURIZMO SKATINIMO IR VYSTYMO PROGRAMOS (N</w:t>
      </w:r>
      <w:r w:rsidRPr="004F5BAC">
        <w:rPr>
          <w:b/>
          <w:caps/>
        </w:rPr>
        <w:t>r.</w:t>
      </w:r>
      <w:r w:rsidRPr="004F5BAC">
        <w:rPr>
          <w:b/>
        </w:rPr>
        <w:t xml:space="preserve"> 02) APRAŠYMAS</w:t>
      </w:r>
    </w:p>
    <w:p w:rsidR="004F5BAC" w:rsidRPr="004F5BAC" w:rsidRDefault="004F5BAC" w:rsidP="004F5BA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F5BAC" w:rsidRPr="004F5BAC" w:rsidTr="0073210E">
        <w:tc>
          <w:tcPr>
            <w:tcW w:w="3213" w:type="dxa"/>
          </w:tcPr>
          <w:p w:rsidR="004F5BAC" w:rsidRPr="004F5BAC" w:rsidRDefault="004F5BAC" w:rsidP="004F5BAC">
            <w:pPr>
              <w:rPr>
                <w:b/>
              </w:rPr>
            </w:pPr>
            <w:r w:rsidRPr="004F5BAC">
              <w:rPr>
                <w:b/>
              </w:rPr>
              <w:t>Biudžetiniai metai</w:t>
            </w:r>
          </w:p>
        </w:tc>
        <w:tc>
          <w:tcPr>
            <w:tcW w:w="6607" w:type="dxa"/>
            <w:gridSpan w:val="15"/>
          </w:tcPr>
          <w:p w:rsidR="004F5BAC" w:rsidRPr="004F5BAC" w:rsidRDefault="004F5BAC" w:rsidP="004F5BAC">
            <w:pPr>
              <w:rPr>
                <w:b/>
              </w:rPr>
            </w:pPr>
            <w:r w:rsidRPr="004F5BAC">
              <w:t>2014-ieji metai</w:t>
            </w:r>
          </w:p>
        </w:tc>
      </w:tr>
      <w:tr w:rsidR="004F5BAC" w:rsidRPr="004F5BAC" w:rsidTr="0073210E">
        <w:tc>
          <w:tcPr>
            <w:tcW w:w="3213" w:type="dxa"/>
          </w:tcPr>
          <w:p w:rsidR="004F5BAC" w:rsidRPr="004F5BAC" w:rsidRDefault="004F5BAC" w:rsidP="004F5BAC">
            <w:pPr>
              <w:rPr>
                <w:b/>
              </w:rPr>
            </w:pPr>
            <w:r w:rsidRPr="004F5BAC">
              <w:rPr>
                <w:b/>
              </w:rPr>
              <w:t>Asignavimų valdytojas (-ai), kodas</w:t>
            </w:r>
          </w:p>
        </w:tc>
        <w:tc>
          <w:tcPr>
            <w:tcW w:w="6607" w:type="dxa"/>
            <w:gridSpan w:val="15"/>
          </w:tcPr>
          <w:p w:rsidR="004F5BAC" w:rsidRPr="004F5BAC" w:rsidRDefault="004F5BAC" w:rsidP="004F5BAC">
            <w:r w:rsidRPr="004F5BAC">
              <w:t>Investicijų ir ekonomikos departamentas, 5</w:t>
            </w:r>
          </w:p>
        </w:tc>
      </w:tr>
      <w:tr w:rsidR="004F5BAC" w:rsidRPr="004F5BAC" w:rsidTr="0073210E">
        <w:tc>
          <w:tcPr>
            <w:tcW w:w="3213" w:type="dxa"/>
          </w:tcPr>
          <w:p w:rsidR="004F5BAC" w:rsidRPr="004F5BAC" w:rsidRDefault="004F5BAC" w:rsidP="004F5BAC">
            <w:pPr>
              <w:rPr>
                <w:b/>
              </w:rPr>
            </w:pPr>
            <w:r w:rsidRPr="004F5BAC">
              <w:rPr>
                <w:b/>
              </w:rPr>
              <w:t>Programos pavadinimas</w:t>
            </w:r>
          </w:p>
        </w:tc>
        <w:tc>
          <w:tcPr>
            <w:tcW w:w="4639" w:type="dxa"/>
            <w:gridSpan w:val="7"/>
          </w:tcPr>
          <w:p w:rsidR="004F5BAC" w:rsidRPr="004F5BAC" w:rsidRDefault="004F5BAC" w:rsidP="004F5BAC">
            <w:pPr>
              <w:rPr>
                <w:b/>
                <w:bCs/>
                <w:strike/>
              </w:rPr>
            </w:pPr>
            <w:r w:rsidRPr="004F5BAC">
              <w:rPr>
                <w:b/>
              </w:rPr>
              <w:t>Subalansuoto turizmo skatinimo ir vystymo programa</w:t>
            </w:r>
          </w:p>
        </w:tc>
        <w:tc>
          <w:tcPr>
            <w:tcW w:w="1117" w:type="dxa"/>
            <w:gridSpan w:val="6"/>
          </w:tcPr>
          <w:p w:rsidR="004F5BAC" w:rsidRPr="004F5BAC" w:rsidRDefault="004F5BAC" w:rsidP="004F5BAC">
            <w:pPr>
              <w:keepNext/>
              <w:outlineLvl w:val="3"/>
              <w:rPr>
                <w:b/>
                <w:bCs/>
              </w:rPr>
            </w:pPr>
            <w:r w:rsidRPr="004F5BAC">
              <w:rPr>
                <w:b/>
                <w:bCs/>
              </w:rPr>
              <w:t>Kodas</w:t>
            </w:r>
          </w:p>
        </w:tc>
        <w:tc>
          <w:tcPr>
            <w:tcW w:w="851" w:type="dxa"/>
            <w:gridSpan w:val="2"/>
          </w:tcPr>
          <w:p w:rsidR="004F5BAC" w:rsidRPr="004F5BAC" w:rsidRDefault="004F5BAC" w:rsidP="004F5BAC">
            <w:pPr>
              <w:rPr>
                <w:b/>
              </w:rPr>
            </w:pPr>
            <w:r w:rsidRPr="004F5BAC">
              <w:rPr>
                <w:b/>
              </w:rPr>
              <w:t>02</w:t>
            </w:r>
          </w:p>
        </w:tc>
      </w:tr>
      <w:tr w:rsidR="004F5BAC" w:rsidRPr="004F5BAC" w:rsidTr="0073210E">
        <w:trPr>
          <w:cantSplit/>
          <w:trHeight w:val="913"/>
        </w:trPr>
        <w:tc>
          <w:tcPr>
            <w:tcW w:w="3213" w:type="dxa"/>
            <w:tcBorders>
              <w:bottom w:val="nil"/>
            </w:tcBorders>
          </w:tcPr>
          <w:p w:rsidR="004F5BAC" w:rsidRPr="004F5BAC" w:rsidRDefault="004F5BAC" w:rsidP="004F5BAC">
            <w:pPr>
              <w:rPr>
                <w:b/>
              </w:rPr>
            </w:pPr>
            <w:r w:rsidRPr="004F5BAC">
              <w:rPr>
                <w:b/>
              </w:rPr>
              <w:t>Programos parengimo argumentai</w:t>
            </w:r>
          </w:p>
        </w:tc>
        <w:tc>
          <w:tcPr>
            <w:tcW w:w="6607" w:type="dxa"/>
            <w:gridSpan w:val="15"/>
            <w:tcBorders>
              <w:bottom w:val="nil"/>
            </w:tcBorders>
          </w:tcPr>
          <w:p w:rsidR="004F5BAC" w:rsidRPr="004F5BAC" w:rsidRDefault="004F5BAC" w:rsidP="004F5BAC">
            <w:pPr>
              <w:jc w:val="both"/>
              <w:rPr>
                <w:iCs/>
              </w:rPr>
            </w:pPr>
            <w:r w:rsidRPr="004F5BAC">
              <w:rPr>
                <w:iCs/>
              </w:rPr>
              <w:t>P</w:t>
            </w:r>
            <w:r w:rsidRPr="004F5BAC">
              <w:t>rograma skirta pritraukti į Klaipėdos miestą turistus, i</w:t>
            </w:r>
            <w:r w:rsidRPr="004F5BAC">
              <w:rPr>
                <w:iCs/>
              </w:rPr>
              <w:t>šskirtinį dėmesį skiriant vandens turizmo skatinimui (tarptautinių jūros renginių organizavimui, kruizinės laivybos skatinimui ir kt.)</w:t>
            </w:r>
          </w:p>
        </w:tc>
      </w:tr>
      <w:tr w:rsidR="004F5BAC" w:rsidRPr="004F5BAC" w:rsidTr="0073210E">
        <w:trPr>
          <w:cantSplit/>
        </w:trPr>
        <w:tc>
          <w:tcPr>
            <w:tcW w:w="3213" w:type="dxa"/>
          </w:tcPr>
          <w:p w:rsidR="004F5BAC" w:rsidRPr="004F5BAC" w:rsidRDefault="004F5BAC" w:rsidP="004F5BAC">
            <w:pPr>
              <w:rPr>
                <w:b/>
              </w:rPr>
            </w:pPr>
            <w:r w:rsidRPr="004F5BAC">
              <w:rPr>
                <w:b/>
              </w:rPr>
              <w:t>Ilgalaikis prioritetas (</w:t>
            </w:r>
            <w:r w:rsidRPr="004F5BAC">
              <w:rPr>
                <w:b/>
                <w:noProof/>
              </w:rPr>
              <w:t>pagal KSP)</w:t>
            </w:r>
          </w:p>
        </w:tc>
        <w:tc>
          <w:tcPr>
            <w:tcW w:w="4622" w:type="dxa"/>
            <w:gridSpan w:val="6"/>
          </w:tcPr>
          <w:p w:rsidR="004F5BAC" w:rsidRPr="004F5BAC" w:rsidRDefault="004F5BAC" w:rsidP="004F5BAC">
            <w:r w:rsidRPr="004F5BAC">
              <w:t>Miesto konkurencingumo didinimas</w:t>
            </w:r>
          </w:p>
        </w:tc>
        <w:tc>
          <w:tcPr>
            <w:tcW w:w="1134" w:type="dxa"/>
            <w:gridSpan w:val="7"/>
          </w:tcPr>
          <w:p w:rsidR="004F5BAC" w:rsidRPr="004F5BAC" w:rsidRDefault="004F5BAC" w:rsidP="004F5BAC">
            <w:pPr>
              <w:keepNext/>
              <w:outlineLvl w:val="4"/>
              <w:rPr>
                <w:b/>
                <w:bCs/>
                <w:i/>
              </w:rPr>
            </w:pPr>
            <w:r w:rsidRPr="004F5BAC">
              <w:rPr>
                <w:b/>
              </w:rPr>
              <w:t>Kodas</w:t>
            </w:r>
          </w:p>
        </w:tc>
        <w:tc>
          <w:tcPr>
            <w:tcW w:w="851" w:type="dxa"/>
            <w:gridSpan w:val="2"/>
          </w:tcPr>
          <w:p w:rsidR="004F5BAC" w:rsidRPr="004F5BAC" w:rsidRDefault="004F5BAC" w:rsidP="004F5BAC">
            <w:pPr>
              <w:keepNext/>
              <w:outlineLvl w:val="4"/>
              <w:rPr>
                <w:b/>
                <w:i/>
              </w:rPr>
            </w:pPr>
            <w:r w:rsidRPr="004F5BAC">
              <w:rPr>
                <w:b/>
              </w:rPr>
              <w:t>III</w:t>
            </w:r>
          </w:p>
        </w:tc>
      </w:tr>
      <w:tr w:rsidR="004F5BAC" w:rsidRPr="004F5BAC" w:rsidTr="0073210E">
        <w:trPr>
          <w:cantSplit/>
        </w:trPr>
        <w:tc>
          <w:tcPr>
            <w:tcW w:w="3213" w:type="dxa"/>
          </w:tcPr>
          <w:p w:rsidR="004F5BAC" w:rsidRPr="004F5BAC" w:rsidRDefault="004F5BAC" w:rsidP="004F5BAC">
            <w:pPr>
              <w:rPr>
                <w:b/>
              </w:rPr>
            </w:pPr>
            <w:r w:rsidRPr="004F5BAC">
              <w:rPr>
                <w:b/>
              </w:rPr>
              <w:t>Šia programa įgyvendinamas savivaldybės strateginis tikslas</w:t>
            </w:r>
          </w:p>
        </w:tc>
        <w:tc>
          <w:tcPr>
            <w:tcW w:w="4622" w:type="dxa"/>
            <w:gridSpan w:val="6"/>
          </w:tcPr>
          <w:p w:rsidR="004F5BAC" w:rsidRPr="004F5BAC" w:rsidRDefault="004F5BAC" w:rsidP="004F5BAC">
            <w:pPr>
              <w:rPr>
                <w:strike/>
              </w:rPr>
            </w:pPr>
            <w:r w:rsidRPr="004F5BAC">
              <w:t xml:space="preserve">Didinti miesto konkurencingumą, kryptingai vystant infrastruktūrą ir sudarant palankias sąlygas verslui </w:t>
            </w:r>
          </w:p>
        </w:tc>
        <w:tc>
          <w:tcPr>
            <w:tcW w:w="1134" w:type="dxa"/>
            <w:gridSpan w:val="7"/>
          </w:tcPr>
          <w:p w:rsidR="004F5BAC" w:rsidRPr="004F5BAC" w:rsidRDefault="004F5BAC" w:rsidP="004F5BAC">
            <w:pPr>
              <w:keepNext/>
              <w:outlineLvl w:val="3"/>
              <w:rPr>
                <w:b/>
                <w:bCs/>
              </w:rPr>
            </w:pPr>
            <w:r w:rsidRPr="004F5BAC">
              <w:rPr>
                <w:b/>
                <w:bCs/>
              </w:rPr>
              <w:t>Kodas</w:t>
            </w:r>
          </w:p>
        </w:tc>
        <w:tc>
          <w:tcPr>
            <w:tcW w:w="851" w:type="dxa"/>
            <w:gridSpan w:val="2"/>
          </w:tcPr>
          <w:p w:rsidR="004F5BAC" w:rsidRPr="004F5BAC" w:rsidRDefault="004F5BAC" w:rsidP="004F5BAC">
            <w:pPr>
              <w:rPr>
                <w:b/>
                <w:strike/>
              </w:rPr>
            </w:pPr>
            <w:r w:rsidRPr="004F5BAC">
              <w:rPr>
                <w:b/>
              </w:rPr>
              <w:t>01</w:t>
            </w:r>
          </w:p>
        </w:tc>
      </w:tr>
      <w:tr w:rsidR="004F5BAC" w:rsidRPr="004F5BAC" w:rsidTr="0073210E">
        <w:trPr>
          <w:cantSplit/>
        </w:trPr>
        <w:tc>
          <w:tcPr>
            <w:tcW w:w="3213" w:type="dxa"/>
          </w:tcPr>
          <w:p w:rsidR="004F5BAC" w:rsidRPr="004F5BAC" w:rsidRDefault="004F5BAC" w:rsidP="004F5BAC">
            <w:pPr>
              <w:rPr>
                <w:b/>
              </w:rPr>
            </w:pPr>
            <w:r w:rsidRPr="004F5BAC">
              <w:rPr>
                <w:b/>
              </w:rPr>
              <w:t>Programos tikslas</w:t>
            </w:r>
          </w:p>
        </w:tc>
        <w:tc>
          <w:tcPr>
            <w:tcW w:w="4622" w:type="dxa"/>
            <w:gridSpan w:val="6"/>
          </w:tcPr>
          <w:p w:rsidR="004F5BAC" w:rsidRPr="004F5BAC" w:rsidRDefault="004F5BAC" w:rsidP="004F5BAC">
            <w:r w:rsidRPr="004F5BAC">
              <w:t>Skatinti atvykstamąjį ir vietinį turizmą, stiprinant miesto turistinį patrauklumą bei didinant Klaipėdos miesto konkurencingumą tiek tarptautinėse, tiek vidinėse turizmo rinkose</w:t>
            </w:r>
          </w:p>
        </w:tc>
        <w:tc>
          <w:tcPr>
            <w:tcW w:w="1134" w:type="dxa"/>
            <w:gridSpan w:val="7"/>
          </w:tcPr>
          <w:p w:rsidR="004F5BAC" w:rsidRPr="004F5BAC" w:rsidRDefault="004F5BAC" w:rsidP="004F5BAC">
            <w:pPr>
              <w:rPr>
                <w:b/>
                <w:bCs/>
              </w:rPr>
            </w:pPr>
            <w:r w:rsidRPr="004F5BAC">
              <w:rPr>
                <w:b/>
                <w:bCs/>
              </w:rPr>
              <w:t>Kodas</w:t>
            </w:r>
          </w:p>
        </w:tc>
        <w:tc>
          <w:tcPr>
            <w:tcW w:w="851" w:type="dxa"/>
            <w:gridSpan w:val="2"/>
          </w:tcPr>
          <w:p w:rsidR="004F5BAC" w:rsidRPr="004F5BAC" w:rsidRDefault="004F5BAC" w:rsidP="004F5BAC">
            <w:pPr>
              <w:rPr>
                <w:b/>
                <w:bCs/>
              </w:rPr>
            </w:pPr>
            <w:r w:rsidRPr="004F5BAC">
              <w:rPr>
                <w:b/>
                <w:bCs/>
              </w:rPr>
              <w:t>01</w:t>
            </w:r>
          </w:p>
        </w:tc>
      </w:tr>
      <w:tr w:rsidR="004F5BAC" w:rsidRPr="004F5BAC" w:rsidTr="0073210E">
        <w:tc>
          <w:tcPr>
            <w:tcW w:w="9820" w:type="dxa"/>
            <w:gridSpan w:val="16"/>
          </w:tcPr>
          <w:p w:rsidR="004F5BAC" w:rsidRPr="004F5BAC" w:rsidRDefault="004F5BAC" w:rsidP="004F5BAC">
            <w:pPr>
              <w:tabs>
                <w:tab w:val="left" w:pos="923"/>
              </w:tabs>
              <w:ind w:firstLine="639"/>
              <w:rPr>
                <w:b/>
                <w:bCs/>
              </w:rPr>
            </w:pPr>
            <w:r w:rsidRPr="004F5BAC">
              <w:rPr>
                <w:b/>
              </w:rPr>
              <w:t xml:space="preserve">Tikslo įgyvendinimo aprašymas: </w:t>
            </w:r>
          </w:p>
          <w:p w:rsidR="004F5BAC" w:rsidRPr="004F5BAC" w:rsidRDefault="004F5BAC" w:rsidP="004F5BAC">
            <w:pPr>
              <w:tabs>
                <w:tab w:val="left" w:pos="923"/>
              </w:tabs>
              <w:ind w:firstLine="639"/>
              <w:jc w:val="both"/>
              <w:rPr>
                <w:b/>
              </w:rPr>
            </w:pPr>
            <w:r w:rsidRPr="004F5BAC">
              <w:t>2013 m. į Klaipėdą atvykstančių turistų skaičius buvo 1,0 % didesnis nei 2012 m. Daugiausia turistų lankėsi iš Vokietijos, Rusijos, Lenkijos, Prancūzijos. 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F5BAC" w:rsidRPr="004F5BAC" w:rsidRDefault="004F5BAC" w:rsidP="004F5BAC">
            <w:pPr>
              <w:tabs>
                <w:tab w:val="left" w:pos="923"/>
              </w:tabs>
              <w:ind w:firstLine="639"/>
              <w:jc w:val="both"/>
              <w:rPr>
                <w:b/>
              </w:rPr>
            </w:pPr>
            <w:r w:rsidRPr="004F5BAC">
              <w:rPr>
                <w:b/>
              </w:rPr>
              <w:t>01 uždavinys. Plėtoti vandens turizmą.</w:t>
            </w:r>
          </w:p>
          <w:p w:rsidR="004F5BAC" w:rsidRPr="004F5BAC" w:rsidRDefault="004F5BAC" w:rsidP="004F5BAC">
            <w:pPr>
              <w:tabs>
                <w:tab w:val="left" w:pos="923"/>
              </w:tabs>
              <w:ind w:firstLine="639"/>
              <w:jc w:val="both"/>
              <w:rPr>
                <w:b/>
              </w:rPr>
            </w:pPr>
            <w:r w:rsidRPr="004F5BAC">
              <w:t>Plėtojant jūrinį turizmą išskiriamos dvi kryptys – kruizinių laivų ir burlaivių pritraukimas į Klaipėdą ir jų aptarnavimo kokybės užtikrinimas. Kruizinės laivybos plėtojimo srityje siekiama aktyviai dalyvauti kruizinių laivų asociacijų, tokių kaip „</w:t>
            </w:r>
            <w:proofErr w:type="spellStart"/>
            <w:r w:rsidRPr="004F5BAC">
              <w:t>Cruise</w:t>
            </w:r>
            <w:proofErr w:type="spellEnd"/>
            <w:r w:rsidRPr="004F5BAC">
              <w:t xml:space="preserve"> </w:t>
            </w:r>
            <w:proofErr w:type="spellStart"/>
            <w:r w:rsidRPr="004F5BAC">
              <w:t>Europe</w:t>
            </w:r>
            <w:proofErr w:type="spellEnd"/>
            <w:r w:rsidRPr="004F5BAC">
              <w:t>“ ir „</w:t>
            </w:r>
            <w:proofErr w:type="spellStart"/>
            <w:r w:rsidRPr="004F5BAC">
              <w:t>Cruise</w:t>
            </w:r>
            <w:proofErr w:type="spellEnd"/>
            <w:r w:rsidRPr="004F5BAC">
              <w:t xml:space="preserve"> </w:t>
            </w:r>
            <w:proofErr w:type="spellStart"/>
            <w:r w:rsidRPr="004F5BAC">
              <w:t>Baltic</w:t>
            </w:r>
            <w:proofErr w:type="spellEnd"/>
            <w:r w:rsidRPr="004F5BAC">
              <w:t xml:space="preserve">“ veikloje, kuriant bendrą rinkodaros sistemą, organizuoti Klaipėdos miesto ir uosto pristatymą kruizinio turizmo tinklalapiuose, tarptautinėse kruizinės laivybos parodose, leisti ir platinti informacinius leidinius (anglų kalba),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 veiklos infrastruktūrą kruizinių laivų turistams. 2013 m., lyginant su 2012 m., kruizinių laivų sumažėjo 7 proc. (3 laivais mažiau), tačiau laivai atvyko didesni ir atplukdė 22 proc. daugiau turistų. Pagal šiuo metu užsiregistravusių kruizinių laivų skaičių 2014 m. planuojama sulaukti daugiau nei 50 kruizinių laivų, iš kurių pusė didesnių nei 200 m ilgio, tad ir atvykstančių turistų skaičius 2014 m. turėtų augti ir pasiekti 2009 m. lygį. Naujiems ir didesniems nei 200 m laivams sutikti bus tęsiama svetingo miesto tradicija ir rengiamos tautodailės bei amatų mugės Teatro </w:t>
            </w:r>
            <w:r w:rsidRPr="004F5BAC">
              <w:lastRenderedPageBreak/>
              <w:t>aikštėje su liaudiškos muzikos koncertais.</w:t>
            </w:r>
          </w:p>
          <w:p w:rsidR="004F5BAC" w:rsidRPr="004F5BAC" w:rsidRDefault="004F5BAC" w:rsidP="004F5BAC">
            <w:pPr>
              <w:tabs>
                <w:tab w:val="left" w:pos="923"/>
              </w:tabs>
              <w:ind w:firstLine="639"/>
              <w:jc w:val="both"/>
              <w:rPr>
                <w:color w:val="FF0000"/>
              </w:rPr>
            </w:pPr>
            <w:r w:rsidRPr="004F5BAC">
              <w:t xml:space="preserve">Klaipėdos miesto savivaldybės taryba 2013 m. birželio 27 d. sprendimu Nr. T2-156 pritarė dalyvavimui </w:t>
            </w:r>
            <w:r w:rsidRPr="004F5BAC">
              <w:rPr>
                <w:color w:val="000000"/>
              </w:rPr>
              <w:t>atrankos konkurse dėl didžiųjų burlaivių regatos „</w:t>
            </w:r>
            <w:proofErr w:type="spellStart"/>
            <w:r w:rsidRPr="004F5BAC">
              <w:rPr>
                <w:color w:val="000000"/>
              </w:rPr>
              <w:t>The</w:t>
            </w:r>
            <w:proofErr w:type="spellEnd"/>
            <w:r w:rsidRPr="004F5BAC">
              <w:rPr>
                <w:color w:val="000000"/>
              </w:rPr>
              <w:t xml:space="preserve"> </w:t>
            </w:r>
            <w:proofErr w:type="spellStart"/>
            <w:r w:rsidRPr="004F5BAC">
              <w:rPr>
                <w:color w:val="000000"/>
              </w:rPr>
              <w:t>Tall</w:t>
            </w:r>
            <w:proofErr w:type="spellEnd"/>
            <w:r w:rsidRPr="004F5BAC">
              <w:rPr>
                <w:color w:val="000000"/>
              </w:rPr>
              <w:t xml:space="preserve"> </w:t>
            </w:r>
            <w:proofErr w:type="spellStart"/>
            <w:r w:rsidRPr="004F5BAC">
              <w:rPr>
                <w:color w:val="000000"/>
              </w:rPr>
              <w:t>Ships</w:t>
            </w:r>
            <w:proofErr w:type="spellEnd"/>
            <w:r w:rsidRPr="004F5BAC">
              <w:rPr>
                <w:color w:val="000000"/>
              </w:rPr>
              <w:t xml:space="preserve"> </w:t>
            </w:r>
            <w:proofErr w:type="spellStart"/>
            <w:r w:rsidRPr="004F5BAC">
              <w:rPr>
                <w:color w:val="000000"/>
              </w:rPr>
              <w:t>Races</w:t>
            </w:r>
            <w:proofErr w:type="spellEnd"/>
            <w:r w:rsidRPr="004F5BAC">
              <w:rPr>
                <w:color w:val="000000"/>
              </w:rPr>
              <w:t xml:space="preserve"> 2017“ priėmimo 2017 metais. Regatos organizatoriai priėmė teigiamą sprendimą dėl Klaipėdos, kaip vieno iš šios regatos sustojimo vietų, todėl nuo 2014 m. bus pradėti pasiruošimo renginiui darbai: vykdomos viešinimo priemonės, dalyvaujama kasmetinėje „</w:t>
            </w:r>
            <w:proofErr w:type="spellStart"/>
            <w:r w:rsidRPr="004F5BAC">
              <w:rPr>
                <w:color w:val="000000"/>
              </w:rPr>
              <w:t>The</w:t>
            </w:r>
            <w:proofErr w:type="spellEnd"/>
            <w:r w:rsidRPr="004F5BAC">
              <w:rPr>
                <w:color w:val="000000"/>
              </w:rPr>
              <w:t xml:space="preserve"> </w:t>
            </w:r>
            <w:proofErr w:type="spellStart"/>
            <w:r w:rsidRPr="004F5BAC">
              <w:rPr>
                <w:color w:val="000000"/>
              </w:rPr>
              <w:t>Tall</w:t>
            </w:r>
            <w:proofErr w:type="spellEnd"/>
            <w:r w:rsidRPr="004F5BAC">
              <w:rPr>
                <w:color w:val="000000"/>
              </w:rPr>
              <w:t xml:space="preserve"> </w:t>
            </w:r>
            <w:proofErr w:type="spellStart"/>
            <w:r w:rsidRPr="004F5BAC">
              <w:rPr>
                <w:color w:val="000000"/>
              </w:rPr>
              <w:t>Ships</w:t>
            </w:r>
            <w:proofErr w:type="spellEnd"/>
            <w:r w:rsidRPr="004F5BAC">
              <w:rPr>
                <w:color w:val="000000"/>
              </w:rPr>
              <w:t xml:space="preserve"> </w:t>
            </w:r>
            <w:proofErr w:type="spellStart"/>
            <w:r w:rsidRPr="004F5BAC">
              <w:rPr>
                <w:color w:val="000000"/>
              </w:rPr>
              <w:t>Races</w:t>
            </w:r>
            <w:proofErr w:type="spellEnd"/>
            <w:r w:rsidRPr="004F5BAC">
              <w:rPr>
                <w:color w:val="000000"/>
              </w:rPr>
              <w:t>“ generalinėje konferencijoje.</w:t>
            </w:r>
          </w:p>
          <w:p w:rsidR="004F5BAC" w:rsidRPr="004F5BAC" w:rsidRDefault="004F5BAC" w:rsidP="004F5BAC">
            <w:pPr>
              <w:tabs>
                <w:tab w:val="left" w:pos="923"/>
              </w:tabs>
              <w:ind w:firstLine="639"/>
              <w:jc w:val="both"/>
            </w:pPr>
            <w:r w:rsidRPr="004F5BAC">
              <w:t>Klaipėda tęs svetingo uosto tradicijas ir 2014 m. priims mokomuosius burlaivius, tokius kaip „</w:t>
            </w:r>
            <w:proofErr w:type="spellStart"/>
            <w:r w:rsidRPr="004F5BAC">
              <w:t>Kruzenstern</w:t>
            </w:r>
            <w:proofErr w:type="spellEnd"/>
            <w:r w:rsidRPr="004F5BAC">
              <w:t>“, „</w:t>
            </w:r>
            <w:proofErr w:type="spellStart"/>
            <w:r w:rsidRPr="004F5BAC">
              <w:t>Sedov</w:t>
            </w:r>
            <w:proofErr w:type="spellEnd"/>
            <w:r w:rsidRPr="004F5BAC">
              <w:t xml:space="preserve">“ ir „Dar </w:t>
            </w:r>
            <w:proofErr w:type="spellStart"/>
            <w:r w:rsidRPr="004F5BAC">
              <w:t>Mlodiezy</w:t>
            </w:r>
            <w:proofErr w:type="spellEnd"/>
            <w:r w:rsidRPr="004F5BAC">
              <w:t>“. Taip pat planuojama prisidėti prie kitų organizuojamų jūrinių renginių viešinant juos ir dalyvaujant juos organizuojant.</w:t>
            </w:r>
          </w:p>
          <w:p w:rsidR="004F5BAC" w:rsidRPr="004F5BAC" w:rsidRDefault="004F5BAC" w:rsidP="004F5BAC">
            <w:pPr>
              <w:tabs>
                <w:tab w:val="left" w:pos="923"/>
              </w:tabs>
              <w:ind w:firstLine="639"/>
              <w:jc w:val="both"/>
              <w:rPr>
                <w:b/>
              </w:rPr>
            </w:pPr>
            <w:r w:rsidRPr="004F5BAC">
              <w:rPr>
                <w:b/>
              </w:rPr>
              <w:t>02 uždavinys. Plėtoti turizmo informacinę sistemą.</w:t>
            </w:r>
          </w:p>
          <w:p w:rsidR="004F5BAC" w:rsidRPr="004F5BAC" w:rsidRDefault="004F5BAC" w:rsidP="004F5BAC">
            <w:pPr>
              <w:tabs>
                <w:tab w:val="left" w:pos="923"/>
              </w:tabs>
              <w:ind w:firstLine="639"/>
              <w:jc w:val="both"/>
              <w:rPr>
                <w:b/>
              </w:rPr>
            </w:pPr>
            <w:r w:rsidRPr="004F5BAC">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F5BAC" w:rsidRPr="004F5BAC" w:rsidRDefault="004F5BAC" w:rsidP="004F5BAC">
            <w:pPr>
              <w:tabs>
                <w:tab w:val="left" w:pos="923"/>
              </w:tabs>
              <w:ind w:firstLine="639"/>
              <w:jc w:val="both"/>
              <w:rPr>
                <w:b/>
              </w:rPr>
            </w:pPr>
            <w:r w:rsidRPr="004F5BAC">
              <w:t>Siekiant skatinti atvykstamąjį turizmą, plečiant turistinės informacijos sklaidą išskiriamos šios veiklos kryptys:</w:t>
            </w:r>
          </w:p>
          <w:p w:rsidR="004F5BAC" w:rsidRPr="004F5BAC" w:rsidRDefault="004F5BAC" w:rsidP="004F5BAC">
            <w:pPr>
              <w:numPr>
                <w:ilvl w:val="0"/>
                <w:numId w:val="1"/>
              </w:numPr>
              <w:tabs>
                <w:tab w:val="left" w:pos="639"/>
                <w:tab w:val="left" w:pos="923"/>
              </w:tabs>
              <w:ind w:firstLine="639"/>
              <w:jc w:val="both"/>
              <w:rPr>
                <w:b/>
              </w:rPr>
            </w:pPr>
            <w:r w:rsidRPr="004F5BAC">
              <w:t xml:space="preserve">Klaipėdos miesto turizmo galimybių pristatymas tarptautiniuose tiksliniuose turizmo renginiuose. Kasmet planuojama dalyvauti 5–7 tarptautiniuose tiksliniuose renginiuose bei teikti informaciją specializuotiems užsienio žurnalams, siekiant informacinių bei palankių straipsnių tarptautiniuose leidiniuose. </w:t>
            </w:r>
          </w:p>
          <w:p w:rsidR="004F5BAC" w:rsidRPr="004F5BAC" w:rsidRDefault="004F5BAC" w:rsidP="004F5BAC">
            <w:pPr>
              <w:numPr>
                <w:ilvl w:val="0"/>
                <w:numId w:val="1"/>
              </w:numPr>
              <w:tabs>
                <w:tab w:val="left" w:pos="639"/>
                <w:tab w:val="left" w:pos="923"/>
              </w:tabs>
              <w:ind w:firstLine="639"/>
              <w:jc w:val="both"/>
              <w:rPr>
                <w:b/>
              </w:rPr>
            </w:pPr>
            <w:r w:rsidRPr="004F5BAC">
              <w:t>Nemokamos informacijos teikimas turistams bei turistines paslaugas teikiantiems subjektams. Planuojama parengti, išleisti ir išplatinti leidinius, pristatančius Klaipėdos miestą ir jo turizmo produktus (kasmet po 8800 Klaipėdos miesto žemėlapių, informacinių brošiūrų bei po 30 000 informacinių leidinių), vidutiniškai 24 000 turistų nemokamai suteikti informaciją, surengti po 3 nemokamas ekskursijas po miestą Pasaulinės turizmo dienos proga.</w:t>
            </w:r>
          </w:p>
          <w:p w:rsidR="004F5BAC" w:rsidRPr="004F5BAC" w:rsidRDefault="004F5BAC" w:rsidP="004F5BAC">
            <w:pPr>
              <w:numPr>
                <w:ilvl w:val="0"/>
                <w:numId w:val="1"/>
              </w:numPr>
              <w:tabs>
                <w:tab w:val="left" w:pos="639"/>
                <w:tab w:val="left" w:pos="923"/>
              </w:tabs>
              <w:ind w:firstLine="639"/>
              <w:jc w:val="both"/>
              <w:rPr>
                <w:b/>
              </w:rPr>
            </w:pPr>
            <w:r w:rsidRPr="004F5BAC">
              <w:t xml:space="preserve">Interneto erdvėje skleisti aktualią informaciją. Tam Klaipėdos turizmo ir kultūros informacijos centras tvarko ir teikia turizmo paslaugų ir išteklių duomenis Nacionalinei turizmo informacijos sistemai kiekvieną mėnesį – </w:t>
            </w:r>
            <w:proofErr w:type="spellStart"/>
            <w:r w:rsidRPr="004F5BAC">
              <w:t>www.travel.lt</w:t>
            </w:r>
            <w:proofErr w:type="spellEnd"/>
          </w:p>
        </w:tc>
      </w:tr>
      <w:tr w:rsidR="004F5BAC" w:rsidRPr="004F5BAC" w:rsidTr="0073210E">
        <w:trPr>
          <w:cantSplit/>
        </w:trPr>
        <w:tc>
          <w:tcPr>
            <w:tcW w:w="9820" w:type="dxa"/>
            <w:gridSpan w:val="16"/>
          </w:tcPr>
          <w:p w:rsidR="004F5BAC" w:rsidRPr="004F5BAC" w:rsidRDefault="004F5BAC" w:rsidP="004F5BAC">
            <w:pPr>
              <w:jc w:val="center"/>
              <w:rPr>
                <w:b/>
              </w:rPr>
            </w:pPr>
            <w:r w:rsidRPr="004F5BAC">
              <w:rPr>
                <w:b/>
              </w:rPr>
              <w:lastRenderedPageBreak/>
              <w:t>01 tikslo rezultato vertinimo kriterijai</w:t>
            </w:r>
          </w:p>
        </w:tc>
      </w:tr>
      <w:tr w:rsidR="004F5BAC" w:rsidRPr="004F5BAC" w:rsidTr="0073210E">
        <w:trPr>
          <w:cantSplit/>
        </w:trPr>
        <w:tc>
          <w:tcPr>
            <w:tcW w:w="3724" w:type="dxa"/>
            <w:gridSpan w:val="2"/>
            <w:vMerge w:val="restart"/>
            <w:vAlign w:val="center"/>
          </w:tcPr>
          <w:p w:rsidR="004F5BAC" w:rsidRPr="004F5BAC" w:rsidRDefault="004F5BAC" w:rsidP="004F5BAC">
            <w:pPr>
              <w:jc w:val="center"/>
            </w:pPr>
            <w:r w:rsidRPr="004F5BAC">
              <w:t>Kriterijaus pavadinimas, mato vnt.</w:t>
            </w:r>
          </w:p>
        </w:tc>
        <w:tc>
          <w:tcPr>
            <w:tcW w:w="2693" w:type="dxa"/>
            <w:gridSpan w:val="2"/>
            <w:vMerge w:val="restart"/>
          </w:tcPr>
          <w:p w:rsidR="004F5BAC" w:rsidRPr="004F5BAC" w:rsidRDefault="004F5BAC" w:rsidP="004F5BAC">
            <w:pPr>
              <w:jc w:val="center"/>
              <w:rPr>
                <w:b/>
              </w:rPr>
            </w:pPr>
            <w:r w:rsidRPr="004F5BAC">
              <w:t>Savivaldybės administracijos padalinys, atsakingas už rodiklio reikšmių pateikimą</w:t>
            </w:r>
          </w:p>
        </w:tc>
        <w:tc>
          <w:tcPr>
            <w:tcW w:w="3403" w:type="dxa"/>
            <w:gridSpan w:val="12"/>
          </w:tcPr>
          <w:p w:rsidR="004F5BAC" w:rsidRPr="004F5BAC" w:rsidRDefault="004F5BAC" w:rsidP="004F5BAC">
            <w:pPr>
              <w:jc w:val="center"/>
            </w:pPr>
            <w:r w:rsidRPr="004F5BAC">
              <w:t>Kriterijaus reikšmė, metai</w:t>
            </w:r>
          </w:p>
        </w:tc>
      </w:tr>
      <w:tr w:rsidR="004F5BAC" w:rsidRPr="004F5BAC" w:rsidTr="0073210E">
        <w:trPr>
          <w:cantSplit/>
        </w:trPr>
        <w:tc>
          <w:tcPr>
            <w:tcW w:w="3724" w:type="dxa"/>
            <w:gridSpan w:val="2"/>
            <w:vMerge/>
          </w:tcPr>
          <w:p w:rsidR="004F5BAC" w:rsidRPr="004F5BAC" w:rsidRDefault="004F5BAC" w:rsidP="004F5BAC">
            <w:pPr>
              <w:jc w:val="both"/>
            </w:pPr>
          </w:p>
        </w:tc>
        <w:tc>
          <w:tcPr>
            <w:tcW w:w="2693" w:type="dxa"/>
            <w:gridSpan w:val="2"/>
            <w:vMerge/>
          </w:tcPr>
          <w:p w:rsidR="004F5BAC" w:rsidRPr="004F5BAC" w:rsidRDefault="004F5BAC" w:rsidP="004F5BAC">
            <w:pPr>
              <w:jc w:val="both"/>
            </w:pPr>
          </w:p>
        </w:tc>
        <w:tc>
          <w:tcPr>
            <w:tcW w:w="993" w:type="dxa"/>
            <w:gridSpan w:val="2"/>
            <w:vAlign w:val="center"/>
          </w:tcPr>
          <w:p w:rsidR="004F5BAC" w:rsidRPr="004F5BAC" w:rsidRDefault="004F5BAC" w:rsidP="004F5BAC">
            <w:pPr>
              <w:jc w:val="center"/>
              <w:rPr>
                <w:b/>
              </w:rPr>
            </w:pPr>
            <w:r w:rsidRPr="004F5BAC">
              <w:t xml:space="preserve">2013 </w:t>
            </w:r>
            <w:r w:rsidRPr="004F5BAC">
              <w:rPr>
                <w:sz w:val="22"/>
                <w:szCs w:val="22"/>
              </w:rPr>
              <w:t>(faktas)</w:t>
            </w:r>
          </w:p>
        </w:tc>
        <w:tc>
          <w:tcPr>
            <w:tcW w:w="771" w:type="dxa"/>
            <w:gridSpan w:val="5"/>
            <w:vAlign w:val="center"/>
          </w:tcPr>
          <w:p w:rsidR="004F5BAC" w:rsidRPr="004F5BAC" w:rsidRDefault="004F5BAC" w:rsidP="004F5BAC">
            <w:pPr>
              <w:jc w:val="center"/>
              <w:rPr>
                <w:b/>
              </w:rPr>
            </w:pPr>
            <w:r w:rsidRPr="004F5BAC">
              <w:t>2014</w:t>
            </w:r>
          </w:p>
        </w:tc>
        <w:tc>
          <w:tcPr>
            <w:tcW w:w="818" w:type="dxa"/>
            <w:gridSpan w:val="4"/>
            <w:vAlign w:val="center"/>
          </w:tcPr>
          <w:p w:rsidR="004F5BAC" w:rsidRPr="004F5BAC" w:rsidRDefault="004F5BAC" w:rsidP="004F5BAC">
            <w:pPr>
              <w:jc w:val="center"/>
              <w:rPr>
                <w:b/>
              </w:rPr>
            </w:pPr>
            <w:r w:rsidRPr="004F5BAC">
              <w:t>2015</w:t>
            </w:r>
          </w:p>
        </w:tc>
        <w:tc>
          <w:tcPr>
            <w:tcW w:w="821" w:type="dxa"/>
            <w:vAlign w:val="center"/>
          </w:tcPr>
          <w:p w:rsidR="004F5BAC" w:rsidRPr="004F5BAC" w:rsidRDefault="004F5BAC" w:rsidP="004F5BAC">
            <w:pPr>
              <w:jc w:val="center"/>
              <w:rPr>
                <w:b/>
              </w:rPr>
            </w:pPr>
            <w:r w:rsidRPr="004F5BAC">
              <w:t>2016</w:t>
            </w:r>
          </w:p>
        </w:tc>
      </w:tr>
      <w:tr w:rsidR="004F5BAC" w:rsidRPr="004F5BAC" w:rsidTr="0073210E">
        <w:trPr>
          <w:cantSplit/>
        </w:trPr>
        <w:tc>
          <w:tcPr>
            <w:tcW w:w="3724" w:type="dxa"/>
            <w:gridSpan w:val="2"/>
          </w:tcPr>
          <w:p w:rsidR="004F5BAC" w:rsidRPr="004F5BAC" w:rsidRDefault="004F5BAC" w:rsidP="004F5BAC">
            <w:r w:rsidRPr="004F5BAC">
              <w:rPr>
                <w:iCs/>
              </w:rPr>
              <w:t>Klaipėdoje apsilankančių turistų skaičiaus didėjimas, proc.</w:t>
            </w:r>
          </w:p>
        </w:tc>
        <w:tc>
          <w:tcPr>
            <w:tcW w:w="2693" w:type="dxa"/>
            <w:gridSpan w:val="2"/>
          </w:tcPr>
          <w:p w:rsidR="004F5BAC" w:rsidRPr="004F5BAC" w:rsidRDefault="004F5BAC" w:rsidP="004F5BAC">
            <w:pPr>
              <w:tabs>
                <w:tab w:val="left" w:pos="435"/>
                <w:tab w:val="center" w:pos="1408"/>
              </w:tabs>
              <w:rPr>
                <w:b/>
              </w:rPr>
            </w:pPr>
            <w:r w:rsidRPr="004F5BAC">
              <w:t>Investicijų ir ekonomikos departamentas</w:t>
            </w:r>
          </w:p>
        </w:tc>
        <w:tc>
          <w:tcPr>
            <w:tcW w:w="993" w:type="dxa"/>
            <w:gridSpan w:val="2"/>
          </w:tcPr>
          <w:p w:rsidR="004F5BAC" w:rsidRPr="004F5BAC" w:rsidRDefault="004F5BAC" w:rsidP="004F5BAC">
            <w:pPr>
              <w:spacing w:before="100" w:beforeAutospacing="1" w:after="100" w:afterAutospacing="1"/>
              <w:jc w:val="center"/>
              <w:rPr>
                <w:rFonts w:eastAsiaTheme="minorHAnsi"/>
              </w:rPr>
            </w:pPr>
            <w:r w:rsidRPr="004F5BAC">
              <w:t>13,5</w:t>
            </w:r>
          </w:p>
        </w:tc>
        <w:tc>
          <w:tcPr>
            <w:tcW w:w="771" w:type="dxa"/>
            <w:gridSpan w:val="5"/>
          </w:tcPr>
          <w:p w:rsidR="004F5BAC" w:rsidRPr="004F5BAC" w:rsidRDefault="004F5BAC" w:rsidP="004F5BAC">
            <w:pPr>
              <w:spacing w:before="100" w:beforeAutospacing="1" w:after="100" w:afterAutospacing="1"/>
              <w:jc w:val="center"/>
              <w:rPr>
                <w:rFonts w:eastAsiaTheme="minorHAnsi"/>
              </w:rPr>
            </w:pPr>
            <w:r w:rsidRPr="004F5BAC">
              <w:t>10</w:t>
            </w:r>
          </w:p>
        </w:tc>
        <w:tc>
          <w:tcPr>
            <w:tcW w:w="818" w:type="dxa"/>
            <w:gridSpan w:val="4"/>
          </w:tcPr>
          <w:p w:rsidR="004F5BAC" w:rsidRPr="004F5BAC" w:rsidRDefault="004F5BAC" w:rsidP="004F5BAC">
            <w:pPr>
              <w:spacing w:before="100" w:beforeAutospacing="1" w:after="100" w:afterAutospacing="1"/>
              <w:jc w:val="center"/>
              <w:rPr>
                <w:rFonts w:eastAsiaTheme="minorHAnsi"/>
              </w:rPr>
            </w:pPr>
            <w:r w:rsidRPr="004F5BAC">
              <w:t>10</w:t>
            </w:r>
          </w:p>
        </w:tc>
        <w:tc>
          <w:tcPr>
            <w:tcW w:w="821" w:type="dxa"/>
          </w:tcPr>
          <w:p w:rsidR="004F5BAC" w:rsidRPr="004F5BAC" w:rsidRDefault="004F5BAC" w:rsidP="004F5BAC">
            <w:pPr>
              <w:spacing w:before="100" w:beforeAutospacing="1" w:after="100" w:afterAutospacing="1"/>
              <w:jc w:val="center"/>
              <w:rPr>
                <w:rFonts w:eastAsiaTheme="minorHAnsi"/>
              </w:rPr>
            </w:pPr>
            <w:r w:rsidRPr="004F5BAC">
              <w:t>10</w:t>
            </w:r>
          </w:p>
        </w:tc>
      </w:tr>
      <w:tr w:rsidR="004F5BAC" w:rsidRPr="004F5BAC" w:rsidTr="0073210E">
        <w:trPr>
          <w:cantSplit/>
        </w:trPr>
        <w:tc>
          <w:tcPr>
            <w:tcW w:w="3724" w:type="dxa"/>
            <w:gridSpan w:val="2"/>
          </w:tcPr>
          <w:p w:rsidR="004F5BAC" w:rsidRPr="004F5BAC" w:rsidRDefault="004F5BAC" w:rsidP="004F5BAC">
            <w:pPr>
              <w:rPr>
                <w:b/>
                <w:iCs/>
              </w:rPr>
            </w:pPr>
            <w:r w:rsidRPr="004F5BAC">
              <w:rPr>
                <w:iCs/>
              </w:rPr>
              <w:t>Visų Klaipėdos miesto apgyvendinimo įstaigų užimtumo pokytis, proc.</w:t>
            </w:r>
          </w:p>
        </w:tc>
        <w:tc>
          <w:tcPr>
            <w:tcW w:w="2693" w:type="dxa"/>
            <w:gridSpan w:val="2"/>
          </w:tcPr>
          <w:p w:rsidR="004F5BAC" w:rsidRPr="004F5BAC" w:rsidRDefault="004F5BAC" w:rsidP="004F5BAC">
            <w:pPr>
              <w:jc w:val="both"/>
              <w:rPr>
                <w:b/>
                <w:iCs/>
              </w:rPr>
            </w:pPr>
            <w:r w:rsidRPr="004F5BAC">
              <w:t>Investicijų ir ekonomikos departamentas</w:t>
            </w:r>
          </w:p>
        </w:tc>
        <w:tc>
          <w:tcPr>
            <w:tcW w:w="993" w:type="dxa"/>
            <w:gridSpan w:val="2"/>
          </w:tcPr>
          <w:p w:rsidR="004F5BAC" w:rsidRPr="004F5BAC" w:rsidRDefault="004F5BAC" w:rsidP="004F5BAC">
            <w:pPr>
              <w:spacing w:before="100" w:beforeAutospacing="1" w:after="100" w:afterAutospacing="1"/>
              <w:jc w:val="center"/>
              <w:rPr>
                <w:rFonts w:eastAsiaTheme="minorHAnsi"/>
              </w:rPr>
            </w:pPr>
            <w:r w:rsidRPr="004F5BAC">
              <w:t>1,5</w:t>
            </w:r>
          </w:p>
        </w:tc>
        <w:tc>
          <w:tcPr>
            <w:tcW w:w="771" w:type="dxa"/>
            <w:gridSpan w:val="5"/>
          </w:tcPr>
          <w:p w:rsidR="004F5BAC" w:rsidRPr="004F5BAC" w:rsidRDefault="004F5BAC" w:rsidP="004F5BAC">
            <w:pPr>
              <w:spacing w:before="100" w:beforeAutospacing="1" w:after="100" w:afterAutospacing="1"/>
              <w:jc w:val="center"/>
              <w:rPr>
                <w:rFonts w:eastAsiaTheme="minorHAnsi"/>
              </w:rPr>
            </w:pPr>
            <w:r w:rsidRPr="004F5BAC">
              <w:t>2</w:t>
            </w:r>
          </w:p>
        </w:tc>
        <w:tc>
          <w:tcPr>
            <w:tcW w:w="818" w:type="dxa"/>
            <w:gridSpan w:val="4"/>
          </w:tcPr>
          <w:p w:rsidR="004F5BAC" w:rsidRPr="004F5BAC" w:rsidRDefault="004F5BAC" w:rsidP="004F5BAC">
            <w:pPr>
              <w:spacing w:before="100" w:beforeAutospacing="1" w:after="100" w:afterAutospacing="1"/>
              <w:jc w:val="center"/>
              <w:rPr>
                <w:rFonts w:eastAsiaTheme="minorHAnsi"/>
              </w:rPr>
            </w:pPr>
            <w:r w:rsidRPr="004F5BAC">
              <w:t>2</w:t>
            </w:r>
          </w:p>
        </w:tc>
        <w:tc>
          <w:tcPr>
            <w:tcW w:w="821" w:type="dxa"/>
          </w:tcPr>
          <w:p w:rsidR="004F5BAC" w:rsidRPr="004F5BAC" w:rsidRDefault="004F5BAC" w:rsidP="004F5BAC">
            <w:pPr>
              <w:spacing w:before="100" w:beforeAutospacing="1" w:after="100" w:afterAutospacing="1"/>
              <w:jc w:val="center"/>
              <w:rPr>
                <w:rFonts w:eastAsiaTheme="minorHAnsi"/>
              </w:rPr>
            </w:pPr>
            <w:r w:rsidRPr="004F5BAC">
              <w:t>2</w:t>
            </w:r>
          </w:p>
        </w:tc>
      </w:tr>
      <w:tr w:rsidR="004F5BAC" w:rsidRPr="004F5BAC" w:rsidTr="0073210E">
        <w:tblPrEx>
          <w:tblLook w:val="01E0" w:firstRow="1" w:lastRow="1" w:firstColumn="1" w:lastColumn="1" w:noHBand="0" w:noVBand="0"/>
        </w:tblPrEx>
        <w:tc>
          <w:tcPr>
            <w:tcW w:w="3213" w:type="dxa"/>
          </w:tcPr>
          <w:p w:rsidR="004F5BAC" w:rsidRPr="004F5BAC" w:rsidRDefault="004F5BAC" w:rsidP="004F5BAC">
            <w:pPr>
              <w:rPr>
                <w:b/>
                <w:bCs/>
              </w:rPr>
            </w:pPr>
            <w:r w:rsidRPr="004F5BAC">
              <w:rPr>
                <w:b/>
              </w:rPr>
              <w:t>Programos tikslas</w:t>
            </w:r>
          </w:p>
        </w:tc>
        <w:tc>
          <w:tcPr>
            <w:tcW w:w="4717" w:type="dxa"/>
            <w:gridSpan w:val="8"/>
          </w:tcPr>
          <w:p w:rsidR="004F5BAC" w:rsidRPr="004F5BAC" w:rsidRDefault="004F5BAC" w:rsidP="004F5BAC">
            <w:pPr>
              <w:rPr>
                <w:bCs/>
              </w:rPr>
            </w:pPr>
            <w:r w:rsidRPr="004F5BAC">
              <w:rPr>
                <w:bCs/>
              </w:rPr>
              <w:t>Plėtoti viešąją aktyvaus poilsio ir turizmo infrastruktūrą</w:t>
            </w:r>
          </w:p>
        </w:tc>
        <w:tc>
          <w:tcPr>
            <w:tcW w:w="944" w:type="dxa"/>
            <w:gridSpan w:val="3"/>
          </w:tcPr>
          <w:p w:rsidR="004F5BAC" w:rsidRPr="004F5BAC" w:rsidRDefault="004F5BAC" w:rsidP="004F5BAC">
            <w:pPr>
              <w:rPr>
                <w:b/>
                <w:bCs/>
              </w:rPr>
            </w:pPr>
            <w:r w:rsidRPr="004F5BAC">
              <w:rPr>
                <w:b/>
                <w:bCs/>
              </w:rPr>
              <w:t>Kodas</w:t>
            </w:r>
          </w:p>
        </w:tc>
        <w:tc>
          <w:tcPr>
            <w:tcW w:w="946" w:type="dxa"/>
            <w:gridSpan w:val="4"/>
          </w:tcPr>
          <w:p w:rsidR="004F5BAC" w:rsidRPr="004F5BAC" w:rsidRDefault="004F5BAC" w:rsidP="004F5BAC">
            <w:pPr>
              <w:rPr>
                <w:b/>
                <w:bCs/>
              </w:rPr>
            </w:pPr>
            <w:r w:rsidRPr="004F5BAC">
              <w:rPr>
                <w:b/>
                <w:bCs/>
              </w:rPr>
              <w:t>02</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rPr>
                <w:b/>
                <w:bCs/>
              </w:rPr>
            </w:pPr>
            <w:r w:rsidRPr="004F5BAC">
              <w:rPr>
                <w:b/>
              </w:rPr>
              <w:t xml:space="preserve">Tikslo įgyvendinimo aprašymas: </w:t>
            </w:r>
          </w:p>
          <w:p w:rsidR="004F5BAC" w:rsidRPr="004F5BAC" w:rsidRDefault="004F5BAC" w:rsidP="004F5BAC">
            <w:pPr>
              <w:ind w:firstLine="639"/>
              <w:jc w:val="both"/>
              <w:rPr>
                <w:color w:val="000000"/>
              </w:rPr>
            </w:pPr>
            <w:r w:rsidRPr="004F5BAC">
              <w:rPr>
                <w:color w:val="000000"/>
              </w:rPr>
              <w:t xml:space="preserve">Tęsiant Klaipėdos, kaip jūrinio miesto, vystymą planuojama toliau plėtoti turizmo infrastruktūrą, prioritetus </w:t>
            </w:r>
            <w:r w:rsidRPr="004F5BAC">
              <w:t>skiriant veikloms, susijusioms</w:t>
            </w:r>
            <w:r w:rsidRPr="004F5BAC">
              <w:rPr>
                <w:color w:val="000000"/>
              </w:rPr>
              <w:t xml:space="preserve"> su jūra.</w:t>
            </w:r>
          </w:p>
          <w:p w:rsidR="004F5BAC" w:rsidRPr="004F5BAC" w:rsidRDefault="004F5BAC" w:rsidP="004F5BAC">
            <w:pPr>
              <w:ind w:firstLine="639"/>
              <w:jc w:val="both"/>
              <w:rPr>
                <w:b/>
              </w:rPr>
            </w:pPr>
            <w:r w:rsidRPr="004F5BAC">
              <w:rPr>
                <w:b/>
              </w:rPr>
              <w:t>01 uždavinys. Plėtoti turizmo infrastruktūrą.</w:t>
            </w:r>
          </w:p>
          <w:p w:rsidR="004F5BAC" w:rsidRPr="004F5BAC" w:rsidRDefault="004F5BAC" w:rsidP="004F5BAC">
            <w:pPr>
              <w:ind w:firstLine="639"/>
              <w:jc w:val="both"/>
            </w:pPr>
            <w:r w:rsidRPr="004F5BAC">
              <w:t xml:space="preserve">Klaipėdos miesto savivaldybės administracija, pasinaudodama ES struktūrinių fondų parama, Šlaito g. 3 (Giruliai) įrengė turizmo traukos objektą – 4 žvaigždučių reikalavimus atitinkantį kempingą (suskirstytą į 3 zonas, kuriose yra 15 vietų </w:t>
            </w:r>
            <w:proofErr w:type="spellStart"/>
            <w:r w:rsidRPr="004F5BAC">
              <w:t>kemperiams</w:t>
            </w:r>
            <w:proofErr w:type="spellEnd"/>
            <w:r w:rsidRPr="004F5BAC">
              <w:t xml:space="preserve">, 15 vietų nameliams, 20 vietų palapinėms, įrengta universali sporto aikštelė, tinkama krepšiniui, tinkliniui ir tenisui, laužavietės, vaikų žaidimo aikštelė, administracinis pastatas bei visa reikalinga inžinerinė infrastruktūra). 2014 m. birželio mėn. planuojama užbaigti įgyvendinti šio projekto II etapą, kurio </w:t>
            </w:r>
            <w:r w:rsidRPr="004F5BAC">
              <w:lastRenderedPageBreak/>
              <w:t>metu bus pastatyta 12 apšildomų medinių poilsio namelių, eksploatuojamų ir vasarą, ir žiemą</w:t>
            </w:r>
            <w:r w:rsidRPr="004F5BAC">
              <w:rPr>
                <w:bCs/>
              </w:rPr>
              <w:t xml:space="preserve">. 2013 m. buvo įrengti 8 nameliai. </w:t>
            </w:r>
            <w:r w:rsidRPr="004F5BAC">
              <w:t>Pastačius stacionarius poilsio namelius Girulių kempinge, bus padidinta ekonominės klasės apgyvendinimo paslaugų įvairovė.</w:t>
            </w:r>
          </w:p>
          <w:p w:rsidR="004F5BAC" w:rsidRPr="004F5BAC" w:rsidRDefault="004F5BAC" w:rsidP="004F5BAC">
            <w:pPr>
              <w:ind w:firstLine="639"/>
              <w:jc w:val="both"/>
              <w:rPr>
                <w:color w:val="000000"/>
              </w:rPr>
            </w:pPr>
            <w:r w:rsidRPr="004F5BAC">
              <w:t>2014 m. planuojama toliau įgyvendinti Klaipėdos pilies bastionų komplekso atkūrimo, statybos ir pritaikymo, išvystant Mažosios Lietuvos istorijos muziejų ir visuomeninių renginių infrastruktūrą Pilies g. 4A, projektą – r</w:t>
            </w:r>
            <w:r w:rsidRPr="004F5BAC">
              <w:rPr>
                <w:color w:val="000000"/>
              </w:rPr>
              <w:t xml:space="preserve">estauruoti princo Karlo, princo Frydricho bastionų, šiaurinės ir rytinės kurtinų atramines sienutes, konservuoti ir restauruoti archeologinius mūrus ir grindinių atodangas, suremontuoti juos dengiančias stogines, </w:t>
            </w:r>
            <w:r w:rsidRPr="004F5BAC">
              <w:t>įrengti informacijos centrą.</w:t>
            </w:r>
          </w:p>
          <w:p w:rsidR="004F5BAC" w:rsidRPr="004F5BAC" w:rsidRDefault="004F5BAC" w:rsidP="004F5BAC">
            <w:pPr>
              <w:ind w:firstLine="639"/>
              <w:jc w:val="both"/>
            </w:pPr>
            <w:r w:rsidRPr="004F5BAC">
              <w:t xml:space="preserve">Siekiant harmoningai atnaujinti ir pritaikyti turizmui Klaipėdos piliavietės teritoriją, kooperuotomis ES struktūrinių fondų ir paskolos lėšomis įgyvendinamas projektas „Visuomeninių renginių infrastruktūros buvusioje pilies teritorijoje suformavimas: Klaipėdos pilies ir bastionų komplekso rytinės kurtinos atkūrimas“. Atkurta piliavietės teritorijos infrastruktūra padidins patrauklių  pramogų pasiūlą pajūrio regione, prisidės prie aktyvaus poilsio, kultūrinio ir pažintinio turizmo plėtros. </w:t>
            </w:r>
            <w:r w:rsidRPr="004F5BAC">
              <w:rPr>
                <w:color w:val="000000"/>
              </w:rPr>
              <w:t xml:space="preserve">Iki </w:t>
            </w:r>
            <w:smartTag w:uri="schemas-tilde-lv/tildestengine" w:element="metric2">
              <w:smartTagPr>
                <w:attr w:name="metric_value" w:val="2015"/>
                <w:attr w:name="metric_text" w:val="m"/>
              </w:smartTagPr>
              <w:r w:rsidRPr="004F5BAC">
                <w:rPr>
                  <w:color w:val="000000"/>
                </w:rPr>
                <w:t>2015 m</w:t>
              </w:r>
            </w:smartTag>
            <w:r w:rsidRPr="004F5BAC">
              <w:rPr>
                <w:color w:val="000000"/>
              </w:rPr>
              <w:t xml:space="preserve">. planuojama rekonstruoti rytinę </w:t>
            </w:r>
            <w:r w:rsidRPr="004F5BAC">
              <w:t xml:space="preserve">kurtiną, Antrojo pasaulinio karo laikų sandėlį, įrengti inžinerinius tinklus. </w:t>
            </w:r>
          </w:p>
          <w:p w:rsidR="004F5BAC" w:rsidRPr="004F5BAC" w:rsidRDefault="004F5BAC" w:rsidP="004F5BAC">
            <w:pPr>
              <w:ind w:firstLine="639"/>
              <w:jc w:val="both"/>
              <w:rPr>
                <w:color w:val="000000"/>
              </w:rPr>
            </w:pPr>
            <w:r w:rsidRPr="004F5BAC">
              <w:t xml:space="preserve">Gavus ES paramą, nuo </w:t>
            </w:r>
            <w:smartTag w:uri="schemas-tilde-lv/tildestengine" w:element="metric2">
              <w:smartTagPr>
                <w:attr w:name="metric_value" w:val="2015"/>
                <w:attr w:name="metric_text" w:val="m"/>
              </w:smartTagPr>
              <w:r w:rsidRPr="004F5BAC">
                <w:t>2015 m</w:t>
              </w:r>
            </w:smartTag>
            <w:r w:rsidRPr="004F5BAC">
              <w:t>. planuojama pradėti vykdyti Klaipėdos poilsio parko sutvarkymo ir pritaikymo turizmo ir kitoms viešoms reikmėms darbus (II etapas). Pirmajame Klaipėdos poilsio parko sutvarkymo etape buvo sutvarkyti želdiniai, pagrindinės parko prieigos, suformuotas parko takų tinklas, įrengti pėsčiųjų ir dviračių takai, vaikų žaidimų, riedučių ir riedlenčių aikštelės, suoliukai ir šiukšliadėžes, rekonstruotas parko apšvietimas, įrengti lauko inžineriniai tinklai bei vaizdo stebėjimo sistema. Antrajame etape numatyti darbai, skirti aktyvaus poilsio infrastruktūrai sukurti, numatant teniso kortų, krepšinio, stalo teniso, tinklinio, lengvojo kultūrizmo, golfo aikšteles, sp</w:t>
            </w:r>
            <w:r w:rsidRPr="004F5BAC">
              <w:rPr>
                <w:color w:val="000000"/>
              </w:rPr>
              <w:t>orto įrenginių ir futbolo aikšteles vaikams. Suprojektuota šunų vedžiojimo bei treniravimo aikštelė</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jc w:val="center"/>
              <w:rPr>
                <w:b/>
              </w:rPr>
            </w:pPr>
            <w:r w:rsidRPr="004F5BAC">
              <w:rPr>
                <w:b/>
              </w:rPr>
              <w:lastRenderedPageBreak/>
              <w:t>02 tikslo rezultato vertinimo kriterijai</w:t>
            </w:r>
          </w:p>
        </w:tc>
      </w:tr>
      <w:tr w:rsidR="004F5BAC" w:rsidRPr="004F5BAC" w:rsidTr="0073210E">
        <w:tblPrEx>
          <w:tblLook w:val="01E0" w:firstRow="1" w:lastRow="1" w:firstColumn="1" w:lastColumn="1" w:noHBand="0" w:noVBand="0"/>
        </w:tblPrEx>
        <w:tc>
          <w:tcPr>
            <w:tcW w:w="3213" w:type="dxa"/>
            <w:vMerge w:val="restart"/>
            <w:vAlign w:val="center"/>
          </w:tcPr>
          <w:p w:rsidR="004F5BAC" w:rsidRPr="004F5BAC" w:rsidRDefault="004F5BAC" w:rsidP="004F5BAC">
            <w:pPr>
              <w:jc w:val="center"/>
              <w:rPr>
                <w:b/>
              </w:rPr>
            </w:pPr>
            <w:r w:rsidRPr="004F5BAC">
              <w:t>Kriterijaus pavadinimas, mato vnt.</w:t>
            </w:r>
          </w:p>
        </w:tc>
        <w:tc>
          <w:tcPr>
            <w:tcW w:w="3032" w:type="dxa"/>
            <w:gridSpan w:val="2"/>
            <w:vMerge w:val="restart"/>
          </w:tcPr>
          <w:p w:rsidR="004F5BAC" w:rsidRPr="004F5BAC" w:rsidRDefault="004F5BAC" w:rsidP="004F5BAC">
            <w:pPr>
              <w:jc w:val="center"/>
              <w:rPr>
                <w:b/>
              </w:rPr>
            </w:pPr>
            <w:r w:rsidRPr="004F5BAC">
              <w:t>Savivaldybės administracijos padalinys, atsakingas už rodiklio reikšmių pateikimą</w:t>
            </w:r>
          </w:p>
        </w:tc>
        <w:tc>
          <w:tcPr>
            <w:tcW w:w="3575" w:type="dxa"/>
            <w:gridSpan w:val="13"/>
          </w:tcPr>
          <w:p w:rsidR="004F5BAC" w:rsidRPr="004F5BAC" w:rsidRDefault="004F5BAC" w:rsidP="004F5BAC">
            <w:pPr>
              <w:jc w:val="center"/>
              <w:rPr>
                <w:b/>
              </w:rPr>
            </w:pPr>
            <w:r w:rsidRPr="004F5BAC">
              <w:t xml:space="preserve">Kriterijaus reikšmė, metai </w:t>
            </w:r>
          </w:p>
        </w:tc>
      </w:tr>
      <w:tr w:rsidR="004F5BAC" w:rsidRPr="004F5BAC" w:rsidTr="0073210E">
        <w:tblPrEx>
          <w:tblLook w:val="01E0" w:firstRow="1" w:lastRow="1" w:firstColumn="1" w:lastColumn="1" w:noHBand="0" w:noVBand="0"/>
        </w:tblPrEx>
        <w:tc>
          <w:tcPr>
            <w:tcW w:w="3213" w:type="dxa"/>
            <w:vMerge/>
          </w:tcPr>
          <w:p w:rsidR="004F5BAC" w:rsidRPr="004F5BAC" w:rsidRDefault="004F5BAC" w:rsidP="004F5BAC">
            <w:pPr>
              <w:jc w:val="center"/>
              <w:rPr>
                <w:b/>
              </w:rPr>
            </w:pPr>
          </w:p>
        </w:tc>
        <w:tc>
          <w:tcPr>
            <w:tcW w:w="3032" w:type="dxa"/>
            <w:gridSpan w:val="2"/>
            <w:vMerge/>
          </w:tcPr>
          <w:p w:rsidR="004F5BAC" w:rsidRPr="004F5BAC" w:rsidRDefault="004F5BAC" w:rsidP="004F5BAC">
            <w:pPr>
              <w:jc w:val="center"/>
              <w:rPr>
                <w:b/>
              </w:rPr>
            </w:pPr>
          </w:p>
        </w:tc>
        <w:tc>
          <w:tcPr>
            <w:tcW w:w="1023" w:type="dxa"/>
            <w:gridSpan w:val="2"/>
            <w:vAlign w:val="center"/>
          </w:tcPr>
          <w:p w:rsidR="004F5BAC" w:rsidRPr="004F5BAC" w:rsidRDefault="004F5BAC" w:rsidP="004F5BAC">
            <w:pPr>
              <w:jc w:val="center"/>
              <w:rPr>
                <w:b/>
              </w:rPr>
            </w:pPr>
            <w:r w:rsidRPr="004F5BAC">
              <w:t>2013 (faktas)</w:t>
            </w:r>
          </w:p>
        </w:tc>
        <w:tc>
          <w:tcPr>
            <w:tcW w:w="764" w:type="dxa"/>
            <w:gridSpan w:val="5"/>
            <w:vAlign w:val="center"/>
          </w:tcPr>
          <w:p w:rsidR="004F5BAC" w:rsidRPr="004F5BAC" w:rsidRDefault="004F5BAC" w:rsidP="004F5BAC">
            <w:pPr>
              <w:jc w:val="center"/>
              <w:rPr>
                <w:b/>
              </w:rPr>
            </w:pPr>
            <w:r w:rsidRPr="004F5BAC">
              <w:t>2014</w:t>
            </w:r>
          </w:p>
        </w:tc>
        <w:tc>
          <w:tcPr>
            <w:tcW w:w="894" w:type="dxa"/>
            <w:gridSpan w:val="3"/>
            <w:vAlign w:val="center"/>
          </w:tcPr>
          <w:p w:rsidR="004F5BAC" w:rsidRPr="004F5BAC" w:rsidRDefault="004F5BAC" w:rsidP="004F5BAC">
            <w:pPr>
              <w:jc w:val="center"/>
              <w:rPr>
                <w:b/>
              </w:rPr>
            </w:pPr>
            <w:r w:rsidRPr="004F5BAC">
              <w:t>2015</w:t>
            </w:r>
          </w:p>
        </w:tc>
        <w:tc>
          <w:tcPr>
            <w:tcW w:w="894" w:type="dxa"/>
            <w:gridSpan w:val="3"/>
            <w:vAlign w:val="center"/>
          </w:tcPr>
          <w:p w:rsidR="004F5BAC" w:rsidRPr="004F5BAC" w:rsidRDefault="004F5BAC" w:rsidP="004F5BAC">
            <w:pPr>
              <w:jc w:val="center"/>
              <w:rPr>
                <w:b/>
              </w:rPr>
            </w:pPr>
            <w:r w:rsidRPr="004F5BAC">
              <w:t>2016</w:t>
            </w:r>
          </w:p>
        </w:tc>
      </w:tr>
      <w:tr w:rsidR="004F5BAC" w:rsidRPr="004F5BAC" w:rsidTr="0073210E">
        <w:tblPrEx>
          <w:tblLook w:val="01E0" w:firstRow="1" w:lastRow="1" w:firstColumn="1" w:lastColumn="1" w:noHBand="0" w:noVBand="0"/>
        </w:tblPrEx>
        <w:tc>
          <w:tcPr>
            <w:tcW w:w="3213" w:type="dxa"/>
          </w:tcPr>
          <w:p w:rsidR="004F5BAC" w:rsidRPr="004F5BAC" w:rsidRDefault="004F5BAC" w:rsidP="004F5BAC">
            <w:pPr>
              <w:rPr>
                <w:b/>
              </w:rPr>
            </w:pPr>
            <w:r w:rsidRPr="004F5BAC">
              <w:t>Įgyvendinta viešųjų infrastruktūros projektų, vnt.</w:t>
            </w:r>
          </w:p>
        </w:tc>
        <w:tc>
          <w:tcPr>
            <w:tcW w:w="3032" w:type="dxa"/>
            <w:gridSpan w:val="2"/>
          </w:tcPr>
          <w:p w:rsidR="004F5BAC" w:rsidRPr="004F5BAC" w:rsidRDefault="004F5BAC" w:rsidP="004F5BAC">
            <w:pPr>
              <w:tabs>
                <w:tab w:val="left" w:pos="435"/>
                <w:tab w:val="center" w:pos="1408"/>
              </w:tabs>
              <w:rPr>
                <w:b/>
              </w:rPr>
            </w:pPr>
            <w:r w:rsidRPr="004F5BAC">
              <w:t>Investicijų ir ekonomikos departamentas</w:t>
            </w:r>
          </w:p>
        </w:tc>
        <w:tc>
          <w:tcPr>
            <w:tcW w:w="1023" w:type="dxa"/>
            <w:gridSpan w:val="2"/>
          </w:tcPr>
          <w:p w:rsidR="004F5BAC" w:rsidRPr="004F5BAC" w:rsidRDefault="004F5BAC" w:rsidP="004F5BAC">
            <w:pPr>
              <w:jc w:val="center"/>
              <w:rPr>
                <w:b/>
              </w:rPr>
            </w:pPr>
            <w:r w:rsidRPr="004F5BAC">
              <w:t>0,5</w:t>
            </w:r>
          </w:p>
        </w:tc>
        <w:tc>
          <w:tcPr>
            <w:tcW w:w="764" w:type="dxa"/>
            <w:gridSpan w:val="5"/>
          </w:tcPr>
          <w:p w:rsidR="004F5BAC" w:rsidRPr="004F5BAC" w:rsidRDefault="004F5BAC" w:rsidP="004F5BAC">
            <w:pPr>
              <w:jc w:val="center"/>
              <w:rPr>
                <w:b/>
              </w:rPr>
            </w:pPr>
            <w:r w:rsidRPr="004F5BAC">
              <w:t>2</w:t>
            </w:r>
          </w:p>
        </w:tc>
        <w:tc>
          <w:tcPr>
            <w:tcW w:w="894" w:type="dxa"/>
            <w:gridSpan w:val="3"/>
          </w:tcPr>
          <w:p w:rsidR="004F5BAC" w:rsidRPr="004F5BAC" w:rsidRDefault="004F5BAC" w:rsidP="004F5BAC">
            <w:pPr>
              <w:jc w:val="center"/>
              <w:rPr>
                <w:b/>
              </w:rPr>
            </w:pPr>
            <w:r w:rsidRPr="004F5BAC">
              <w:t>1</w:t>
            </w:r>
          </w:p>
        </w:tc>
        <w:tc>
          <w:tcPr>
            <w:tcW w:w="894" w:type="dxa"/>
            <w:gridSpan w:val="3"/>
          </w:tcPr>
          <w:p w:rsidR="004F5BAC" w:rsidRPr="004F5BAC" w:rsidRDefault="004F5BAC" w:rsidP="004F5BAC">
            <w:pPr>
              <w:jc w:val="center"/>
              <w:rPr>
                <w:b/>
              </w:rPr>
            </w:pPr>
            <w:r w:rsidRPr="004F5BAC">
              <w:t>1</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rPr>
                <w:b/>
              </w:rPr>
            </w:pPr>
            <w:r w:rsidRPr="004F5BAC">
              <w:rPr>
                <w:b/>
              </w:rPr>
              <w:t>Numatomas programos įgyvendinimo rezultatas:</w:t>
            </w:r>
          </w:p>
          <w:p w:rsidR="004F5BAC" w:rsidRPr="004F5BAC" w:rsidRDefault="004F5BAC" w:rsidP="004F5BAC">
            <w:pPr>
              <w:ind w:firstLine="639"/>
              <w:jc w:val="both"/>
              <w:rPr>
                <w:b/>
              </w:rPr>
            </w:pPr>
            <w:r w:rsidRPr="004F5BAC">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jc w:val="both"/>
              <w:rPr>
                <w:b/>
              </w:rPr>
            </w:pPr>
            <w:r w:rsidRPr="004F5BAC">
              <w:rPr>
                <w:b/>
              </w:rPr>
              <w:t>Galimi programos vykdymo ir finansavimo variantai:</w:t>
            </w:r>
          </w:p>
          <w:p w:rsidR="004F5BAC" w:rsidRPr="004F5BAC" w:rsidRDefault="004F5BAC" w:rsidP="004F5BAC">
            <w:pPr>
              <w:ind w:firstLine="639"/>
              <w:jc w:val="both"/>
              <w:rPr>
                <w:b/>
              </w:rPr>
            </w:pPr>
            <w:r w:rsidRPr="004F5BAC">
              <w:rPr>
                <w:noProof/>
                <w:lang w:val="en-GB"/>
              </w:rPr>
              <w:t xml:space="preserve">Klaipėdos miesto </w:t>
            </w:r>
            <w:r w:rsidRPr="004F5BAC">
              <w:t>savivaldybės biudžeto lėšos; paskolos lėšos, ES struktūrinių fondų ir programų lėšos</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outlineLvl w:val="0"/>
              <w:rPr>
                <w:b/>
              </w:rPr>
            </w:pPr>
            <w:r w:rsidRPr="004F5BAC">
              <w:rPr>
                <w:b/>
              </w:rPr>
              <w:t>Klaipėdos miesto 2013–2020 metų strateginio plėtros plano dalys, susijusios su vykdoma programa:</w:t>
            </w:r>
          </w:p>
          <w:p w:rsidR="004F5BAC" w:rsidRPr="004F5BAC" w:rsidRDefault="004F5BAC" w:rsidP="004F5BAC">
            <w:pPr>
              <w:ind w:firstLine="639"/>
              <w:rPr>
                <w:rFonts w:eastAsia="SimSun"/>
                <w:lang w:eastAsia="lt-LT"/>
              </w:rPr>
            </w:pPr>
            <w:r w:rsidRPr="004F5BAC">
              <w:rPr>
                <w:rFonts w:eastAsia="SimSun"/>
                <w:caps/>
              </w:rPr>
              <w:t xml:space="preserve">3.2.1 </w:t>
            </w:r>
            <w:r w:rsidRPr="004F5BAC">
              <w:rPr>
                <w:rFonts w:eastAsia="SimSun"/>
              </w:rPr>
              <w:t>uždavinys</w:t>
            </w:r>
            <w:r w:rsidRPr="004F5BAC">
              <w:rPr>
                <w:rFonts w:eastAsia="SimSun"/>
                <w:caps/>
              </w:rPr>
              <w:t xml:space="preserve">. </w:t>
            </w:r>
            <w:r w:rsidRPr="004F5BAC">
              <w:rPr>
                <w:rFonts w:eastAsia="SimSun"/>
                <w:lang w:eastAsia="lt-LT"/>
              </w:rPr>
              <w:t>Formuoti strateginius turistų traukos centrus.</w:t>
            </w:r>
          </w:p>
          <w:p w:rsidR="004F5BAC" w:rsidRPr="004F5BAC" w:rsidRDefault="004F5BAC" w:rsidP="004F5BAC">
            <w:pPr>
              <w:ind w:firstLine="639"/>
              <w:jc w:val="both"/>
              <w:rPr>
                <w:rFonts w:eastAsia="SimSun"/>
                <w:lang w:eastAsia="lt-LT"/>
              </w:rPr>
            </w:pPr>
            <w:r w:rsidRPr="004F5BAC">
              <w:rPr>
                <w:rFonts w:eastAsia="SimSun"/>
                <w:caps/>
              </w:rPr>
              <w:t xml:space="preserve">3.2.2 </w:t>
            </w:r>
            <w:r w:rsidRPr="004F5BAC">
              <w:rPr>
                <w:rFonts w:eastAsia="SimSun"/>
              </w:rPr>
              <w:t>uždavinys</w:t>
            </w:r>
            <w:r w:rsidRPr="004F5BAC">
              <w:rPr>
                <w:rFonts w:eastAsia="SimSun"/>
                <w:caps/>
              </w:rPr>
              <w:t xml:space="preserve">. </w:t>
            </w:r>
            <w:r w:rsidRPr="004F5BAC">
              <w:rPr>
                <w:rFonts w:eastAsia="SimSun"/>
                <w:lang w:eastAsia="lt-LT"/>
              </w:rPr>
              <w:t xml:space="preserve">Skatinti turizmo paslaugų specializaciją. </w:t>
            </w:r>
          </w:p>
          <w:p w:rsidR="004F5BAC" w:rsidRPr="004F5BAC" w:rsidRDefault="004F5BAC" w:rsidP="004F5BAC">
            <w:pPr>
              <w:ind w:firstLine="639"/>
              <w:jc w:val="both"/>
              <w:rPr>
                <w:rFonts w:eastAsia="SimSun"/>
                <w:lang w:eastAsia="lt-LT"/>
              </w:rPr>
            </w:pPr>
            <w:r w:rsidRPr="004F5BAC">
              <w:rPr>
                <w:rFonts w:eastAsia="SimSun"/>
                <w:lang w:eastAsia="lt-LT"/>
              </w:rPr>
              <w:t>3.2.3 uždavinys. Gerinti miesto turistinį įvaizdį rinkodaros priemonėmis.</w:t>
            </w:r>
          </w:p>
          <w:p w:rsidR="004F5BAC" w:rsidRPr="004F5BAC" w:rsidRDefault="004F5BAC" w:rsidP="004F5BAC">
            <w:pPr>
              <w:ind w:firstLine="639"/>
              <w:jc w:val="both"/>
              <w:rPr>
                <w:rFonts w:eastAsia="SimSun"/>
                <w:lang w:eastAsia="lt-LT"/>
              </w:rPr>
            </w:pPr>
            <w:r w:rsidRPr="004F5BAC">
              <w:rPr>
                <w:rFonts w:eastAsia="SimSun"/>
                <w:caps/>
              </w:rPr>
              <w:t xml:space="preserve">3.3.1 </w:t>
            </w:r>
            <w:r w:rsidRPr="004F5BAC">
              <w:rPr>
                <w:rFonts w:eastAsia="SimSun"/>
              </w:rPr>
              <w:t xml:space="preserve">uždavinys. </w:t>
            </w:r>
            <w:r w:rsidRPr="004F5BAC">
              <w:rPr>
                <w:rFonts w:eastAsia="SimSun"/>
                <w:lang w:eastAsia="lt-LT"/>
              </w:rPr>
              <w:t>Stiprinti jūrinį tapatumą</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jc w:val="both"/>
              <w:rPr>
                <w:b/>
              </w:rPr>
            </w:pPr>
            <w:r w:rsidRPr="004F5BAC">
              <w:rPr>
                <w:b/>
              </w:rPr>
              <w:t xml:space="preserve">Susiję Lietuvos Respublikos ir savivaldybės teisės aktai: </w:t>
            </w:r>
          </w:p>
          <w:p w:rsidR="004F5BAC" w:rsidRPr="004F5BAC" w:rsidRDefault="004F5BAC" w:rsidP="004F5BAC">
            <w:pPr>
              <w:ind w:firstLine="639"/>
              <w:jc w:val="both"/>
              <w:outlineLvl w:val="0"/>
              <w:rPr>
                <w:b/>
              </w:rPr>
            </w:pPr>
            <w:r w:rsidRPr="004F5BAC">
              <w:rPr>
                <w:bCs/>
                <w:color w:val="000000"/>
              </w:rPr>
              <w:t>Valstybinio turizmo departamento prie Ūkio ministerijos 2011 m. gruodžio 20 d. įsakymas Nr. V-174 „Dėl  Lietuvos turizmo informacijos sistemos nuostatų patvirtinimo“, Klaipėdos</w:t>
            </w:r>
            <w:r w:rsidRPr="004F5BAC">
              <w:rPr>
                <w:bCs/>
              </w:rPr>
              <w:t xml:space="preserve"> miesto bendrasis planas, Klaipėdos miesto 2013–2020 m. strateginis plėtros planas</w:t>
            </w:r>
          </w:p>
        </w:tc>
      </w:tr>
    </w:tbl>
    <w:p w:rsidR="004F5BAC" w:rsidRPr="004F5BAC" w:rsidRDefault="004F5BAC" w:rsidP="004F5BAC">
      <w:pPr>
        <w:jc w:val="center"/>
      </w:pPr>
      <w:r w:rsidRPr="004F5BAC">
        <w:t>–––––––––––––––––––––––––</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4F5BAC"/>
    <w:rsid w:val="00597EE8"/>
    <w:rsid w:val="005F495C"/>
    <w:rsid w:val="007D7AFB"/>
    <w:rsid w:val="00825832"/>
    <w:rsid w:val="008354D5"/>
    <w:rsid w:val="008E6E82"/>
    <w:rsid w:val="00AF7D08"/>
    <w:rsid w:val="00B750B6"/>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6628</Words>
  <Characters>3778</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2014-06-02T12:37:00Z</dcterms:created>
  <dcterms:modified xsi:type="dcterms:W3CDTF">2014-06-02T12:37:00Z</dcterms:modified>
</cp:coreProperties>
</file>