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16" w:rsidRPr="008A4BAA" w:rsidRDefault="00F94F16" w:rsidP="00085947">
      <w:pPr>
        <w:jc w:val="center"/>
        <w:rPr>
          <w:b/>
          <w:bCs/>
        </w:rPr>
      </w:pPr>
      <w:bookmarkStart w:id="0" w:name="_GoBack"/>
      <w:bookmarkEnd w:id="0"/>
      <w:r w:rsidRPr="008A4BAA">
        <w:rPr>
          <w:b/>
          <w:bCs/>
        </w:rPr>
        <w:t xml:space="preserve">AIŠKINAMASIS RAŠTAS </w:t>
      </w:r>
    </w:p>
    <w:p w:rsidR="00F94F16" w:rsidRDefault="00F94F16" w:rsidP="00085947">
      <w:pPr>
        <w:pStyle w:val="Pagrindiniotekstotrauka"/>
        <w:ind w:firstLine="0"/>
        <w:jc w:val="center"/>
      </w:pPr>
    </w:p>
    <w:p w:rsidR="00F94F16" w:rsidRDefault="00F94F16" w:rsidP="00085947">
      <w:pPr>
        <w:ind w:firstLine="720"/>
        <w:jc w:val="both"/>
        <w:rPr>
          <w:b/>
        </w:rPr>
      </w:pPr>
      <w:r w:rsidRPr="00BA6BA8">
        <w:rPr>
          <w:b/>
        </w:rPr>
        <w:t>1. Sprendimo projekto esmė, tikslai ir uždaviniai.</w:t>
      </w:r>
    </w:p>
    <w:p w:rsidR="00F94F16" w:rsidRPr="004D7970" w:rsidRDefault="009B5C09" w:rsidP="00085947">
      <w:pPr>
        <w:ind w:firstLine="720"/>
        <w:jc w:val="both"/>
        <w:outlineLvl w:val="0"/>
      </w:pPr>
      <w:r>
        <w:t>Parengta ir teikiama</w:t>
      </w:r>
      <w:r w:rsidR="00F94F16" w:rsidRPr="004D7970">
        <w:t xml:space="preserve"> Klaipėdos miesto savivaldybės tarybai tvirtinti </w:t>
      </w:r>
      <w:r w:rsidR="00F94F16" w:rsidRPr="004D7970">
        <w:rPr>
          <w:bCs/>
        </w:rPr>
        <w:t>Klaipėdos mies</w:t>
      </w:r>
      <w:r w:rsidR="00BD10E3">
        <w:rPr>
          <w:bCs/>
        </w:rPr>
        <w:t>to plėtros strateginio plano 2013–2020</w:t>
      </w:r>
      <w:r w:rsidR="00F94F16" w:rsidRPr="004D7970">
        <w:rPr>
          <w:bCs/>
        </w:rPr>
        <w:t xml:space="preserve"> metų </w:t>
      </w:r>
      <w:r w:rsidR="00F94F16" w:rsidRPr="004D7970">
        <w:t xml:space="preserve">(toliau </w:t>
      </w:r>
      <w:r w:rsidR="00B847F7">
        <w:t xml:space="preserve">tekste </w:t>
      </w:r>
      <w:r w:rsidR="00F94F16" w:rsidRPr="004D7970">
        <w:t>– KSP)</w:t>
      </w:r>
      <w:r w:rsidR="00F94F16" w:rsidRPr="004D7970">
        <w:rPr>
          <w:bCs/>
        </w:rPr>
        <w:t xml:space="preserve"> įgyvendinimo 20</w:t>
      </w:r>
      <w:r w:rsidR="005A73D3" w:rsidRPr="004D7970">
        <w:rPr>
          <w:bCs/>
        </w:rPr>
        <w:t>1</w:t>
      </w:r>
      <w:r w:rsidR="00BD10E3">
        <w:rPr>
          <w:bCs/>
        </w:rPr>
        <w:t>3</w:t>
      </w:r>
      <w:r w:rsidR="00DB3FE1" w:rsidRPr="004D7970">
        <w:rPr>
          <w:bCs/>
        </w:rPr>
        <w:t xml:space="preserve"> </w:t>
      </w:r>
      <w:r w:rsidR="00F94F16" w:rsidRPr="004D7970">
        <w:rPr>
          <w:bCs/>
        </w:rPr>
        <w:t>m. ataskait</w:t>
      </w:r>
      <w:r>
        <w:rPr>
          <w:bCs/>
        </w:rPr>
        <w:t>a</w:t>
      </w:r>
      <w:r w:rsidR="00F94F16" w:rsidRPr="004D7970">
        <w:rPr>
          <w:bCs/>
        </w:rPr>
        <w:t>.</w:t>
      </w:r>
      <w:r w:rsidR="00F94F16" w:rsidRPr="004D7970">
        <w:t xml:space="preserve"> </w:t>
      </w:r>
    </w:p>
    <w:p w:rsidR="00F94F16" w:rsidRPr="004D7970" w:rsidRDefault="00F94F16" w:rsidP="00085947">
      <w:pPr>
        <w:ind w:firstLine="720"/>
        <w:jc w:val="both"/>
        <w:outlineLvl w:val="0"/>
      </w:pPr>
      <w:r w:rsidRPr="004D7970">
        <w:t>Vadovau</w:t>
      </w:r>
      <w:r w:rsidR="00B547A3">
        <w:t xml:space="preserve">jantis </w:t>
      </w:r>
      <w:r w:rsidR="009B5C09">
        <w:t>2013</w:t>
      </w:r>
      <w:r w:rsidRPr="004D7970">
        <w:t xml:space="preserve"> m. liepos </w:t>
      </w:r>
      <w:r w:rsidR="009B5C09">
        <w:t>25</w:t>
      </w:r>
      <w:r w:rsidRPr="004D7970">
        <w:t xml:space="preserve"> d. sprendimu Nr. T2-</w:t>
      </w:r>
      <w:r w:rsidR="009B5C09">
        <w:t>182</w:t>
      </w:r>
      <w:r w:rsidRPr="004D7970">
        <w:t xml:space="preserve"> patvirtinta Klaipėdos miesto plėtros strateginio plano </w:t>
      </w:r>
      <w:r w:rsidR="00DB3FE1" w:rsidRPr="004D7970">
        <w:t xml:space="preserve">priežiūros </w:t>
      </w:r>
      <w:r w:rsidR="00B547A3">
        <w:t>metodika</w:t>
      </w:r>
      <w:r w:rsidRPr="004D7970">
        <w:t xml:space="preserve">, </w:t>
      </w:r>
      <w:r w:rsidR="00B547A3">
        <w:t>atlikta</w:t>
      </w:r>
      <w:r w:rsidRPr="004D7970">
        <w:t xml:space="preserve"> KSP įgyvendinimo 20</w:t>
      </w:r>
      <w:r w:rsidR="005A73D3" w:rsidRPr="004D7970">
        <w:t>1</w:t>
      </w:r>
      <w:r w:rsidR="00BD10E3">
        <w:t>3</w:t>
      </w:r>
      <w:r w:rsidRPr="004D7970">
        <w:t xml:space="preserve"> m. </w:t>
      </w:r>
      <w:proofErr w:type="spellStart"/>
      <w:r w:rsidRPr="004D7970">
        <w:t>stebėsen</w:t>
      </w:r>
      <w:r w:rsidR="00B547A3">
        <w:t>a</w:t>
      </w:r>
      <w:proofErr w:type="spellEnd"/>
      <w:r w:rsidRPr="004D7970">
        <w:t xml:space="preserve"> – surink</w:t>
      </w:r>
      <w:r w:rsidR="00B547A3">
        <w:t>ti</w:t>
      </w:r>
      <w:r w:rsidRPr="004D7970">
        <w:t xml:space="preserve"> duomen</w:t>
      </w:r>
      <w:r w:rsidR="00B547A3">
        <w:t>y</w:t>
      </w:r>
      <w:r w:rsidRPr="004D7970">
        <w:t xml:space="preserve">s iš KSP </w:t>
      </w:r>
      <w:r w:rsidR="00B547A3">
        <w:t xml:space="preserve">dalių </w:t>
      </w:r>
      <w:r w:rsidRPr="004D7970">
        <w:t>vykdytojų, atlik</w:t>
      </w:r>
      <w:r w:rsidR="00B547A3">
        <w:t>ta</w:t>
      </w:r>
      <w:r w:rsidRPr="004D7970">
        <w:t xml:space="preserve"> plano</w:t>
      </w:r>
      <w:r w:rsidR="00B547A3">
        <w:t xml:space="preserve"> </w:t>
      </w:r>
      <w:r w:rsidRPr="004D7970">
        <w:t xml:space="preserve"> įgyvendinimo</w:t>
      </w:r>
      <w:r w:rsidR="00B547A3">
        <w:t xml:space="preserve"> pažangos</w:t>
      </w:r>
      <w:r w:rsidRPr="004D7970">
        <w:t xml:space="preserve"> analiz</w:t>
      </w:r>
      <w:r w:rsidR="00B547A3">
        <w:t>ė</w:t>
      </w:r>
      <w:r w:rsidRPr="004D7970">
        <w:t xml:space="preserve"> ir </w:t>
      </w:r>
      <w:r w:rsidR="00B547A3">
        <w:t>surinkti</w:t>
      </w:r>
      <w:r w:rsidRPr="004D7970">
        <w:t xml:space="preserve"> </w:t>
      </w:r>
      <w:r w:rsidR="00B547A3">
        <w:t xml:space="preserve">duomenys apie </w:t>
      </w:r>
      <w:r w:rsidRPr="004D7970">
        <w:t>kiekybinių</w:t>
      </w:r>
      <w:r w:rsidR="00DB3FE1" w:rsidRPr="004D7970">
        <w:t xml:space="preserve"> bei kokybinių</w:t>
      </w:r>
      <w:r w:rsidRPr="004D7970">
        <w:t xml:space="preserve"> vizijos, </w:t>
      </w:r>
      <w:r w:rsidR="00B547A3">
        <w:t xml:space="preserve">tikslų, uždavinių ir priemonių </w:t>
      </w:r>
      <w:r w:rsidRPr="004D7970">
        <w:t xml:space="preserve">rodiklių pasiekimo lygį. </w:t>
      </w:r>
      <w:r w:rsidR="00B547A3">
        <w:t>Priemonių</w:t>
      </w:r>
      <w:r w:rsidRPr="004D7970">
        <w:t xml:space="preserve"> rodiklių pagalba kontroliuo</w:t>
      </w:r>
      <w:r w:rsidR="00DB3FE1" w:rsidRPr="004D7970">
        <w:t xml:space="preserve">jamas KSP </w:t>
      </w:r>
      <w:r w:rsidR="00B547A3">
        <w:t>priemonių</w:t>
      </w:r>
      <w:r w:rsidR="00DB3FE1" w:rsidRPr="004D7970">
        <w:t xml:space="preserve"> įgyvendinimas, o analizuojant </w:t>
      </w:r>
      <w:r w:rsidR="00B547A3">
        <w:t>vizijos, tikslų ir uždavinių</w:t>
      </w:r>
      <w:r w:rsidR="00DB3FE1" w:rsidRPr="004D7970">
        <w:t xml:space="preserve"> rodiklių reikšmes </w:t>
      </w:r>
      <w:r w:rsidRPr="004D7970">
        <w:t xml:space="preserve">įvertinamas </w:t>
      </w:r>
      <w:r w:rsidR="00B547A3">
        <w:t xml:space="preserve">įgyvendinamų priemonių </w:t>
      </w:r>
      <w:r w:rsidRPr="004D7970">
        <w:t xml:space="preserve">poveikis </w:t>
      </w:r>
      <w:r w:rsidR="00B547A3">
        <w:t>atskiroms miesto sritims</w:t>
      </w:r>
      <w:r w:rsidRPr="004D7970">
        <w:t xml:space="preserve">. </w:t>
      </w:r>
    </w:p>
    <w:p w:rsidR="009B5C09" w:rsidRDefault="009B5C09" w:rsidP="00085947">
      <w:pPr>
        <w:ind w:firstLine="720"/>
        <w:jc w:val="both"/>
      </w:pPr>
    </w:p>
    <w:p w:rsidR="00F94F16" w:rsidRPr="004D7970" w:rsidRDefault="00F94F16" w:rsidP="00085947">
      <w:pPr>
        <w:ind w:firstLine="720"/>
        <w:jc w:val="both"/>
        <w:rPr>
          <w:b/>
        </w:rPr>
      </w:pPr>
      <w:r w:rsidRPr="004D7970">
        <w:rPr>
          <w:b/>
        </w:rPr>
        <w:t>2. Projekto rengimo priežastys ir kuo remiantis parengtas sprendimo projektas.</w:t>
      </w:r>
    </w:p>
    <w:p w:rsidR="00F94F16" w:rsidRPr="00AA2F9D" w:rsidRDefault="00965E84" w:rsidP="00965E84">
      <w:pPr>
        <w:tabs>
          <w:tab w:val="left" w:pos="709"/>
          <w:tab w:val="left" w:pos="5366"/>
          <w:tab w:val="left" w:pos="6771"/>
          <w:tab w:val="left" w:pos="7363"/>
        </w:tabs>
        <w:jc w:val="both"/>
      </w:pPr>
      <w:r>
        <w:tab/>
      </w:r>
      <w:r w:rsidR="00F94F16" w:rsidRPr="004D7970">
        <w:t xml:space="preserve">Klaipėdos miesto savivaldybės tarybos </w:t>
      </w:r>
      <w:r>
        <w:rPr>
          <w:noProof/>
        </w:rPr>
        <w:t xml:space="preserve">2013 m. balandžio 26 d. </w:t>
      </w:r>
      <w:r w:rsidRPr="004D7970">
        <w:t xml:space="preserve">sprendimu </w:t>
      </w:r>
      <w:r w:rsidRPr="003C09F9">
        <w:t>Nr.</w:t>
      </w:r>
      <w:r>
        <w:t xml:space="preserve"> </w:t>
      </w:r>
      <w:r>
        <w:rPr>
          <w:noProof/>
        </w:rPr>
        <w:t>T2-79</w:t>
      </w:r>
      <w:r>
        <w:t xml:space="preserve"> </w:t>
      </w:r>
      <w:r w:rsidR="00F94F16" w:rsidRPr="004D7970">
        <w:t xml:space="preserve">patvirtintas ilgalaikis planavimo dokumentas – </w:t>
      </w:r>
      <w:r w:rsidRPr="008D6679">
        <w:t>Klaipėdos miesto savivaldybės 2013</w:t>
      </w:r>
      <w:r>
        <w:t>–</w:t>
      </w:r>
      <w:r w:rsidRPr="008D6679">
        <w:t>2020 metų strategin</w:t>
      </w:r>
      <w:r>
        <w:t>is</w:t>
      </w:r>
      <w:r w:rsidRPr="008D6679">
        <w:t xml:space="preserve"> plėtros plan</w:t>
      </w:r>
      <w:r>
        <w:t>as</w:t>
      </w:r>
      <w:r w:rsidR="00F94F16" w:rsidRPr="004D7970">
        <w:t xml:space="preserve">. Dokumente išskirti </w:t>
      </w:r>
      <w:r>
        <w:t>3</w:t>
      </w:r>
      <w:r w:rsidR="00F94F16" w:rsidRPr="004D7970">
        <w:t xml:space="preserve"> miesto plėtros prioritetai: 1) </w:t>
      </w:r>
      <w:r w:rsidRPr="00965E84">
        <w:rPr>
          <w:rFonts w:eastAsia="SimSun"/>
          <w:lang w:eastAsia="lt-LT"/>
        </w:rPr>
        <w:t>sveika, sumani ir saugi bendruomenė</w:t>
      </w:r>
      <w:r w:rsidRPr="00965E84">
        <w:t>;</w:t>
      </w:r>
      <w:r w:rsidR="00F94F16" w:rsidRPr="004D7970">
        <w:t xml:space="preserve"> 2) </w:t>
      </w:r>
      <w:r w:rsidRPr="00965E84">
        <w:rPr>
          <w:rFonts w:eastAsia="SimSun"/>
          <w:lang w:eastAsia="lt-LT"/>
        </w:rPr>
        <w:t>tvari urbanistinė raida</w:t>
      </w:r>
      <w:r w:rsidR="00F94F16" w:rsidRPr="004D7970">
        <w:t xml:space="preserve">; 3) </w:t>
      </w:r>
      <w:r w:rsidRPr="00965E84">
        <w:rPr>
          <w:rFonts w:eastAsia="SimSun"/>
          <w:lang w:eastAsia="lt-LT"/>
        </w:rPr>
        <w:t>miesto konkurencingumo didinimas</w:t>
      </w:r>
      <w:r w:rsidR="00F94F16" w:rsidRPr="004D7970">
        <w:t xml:space="preserve">. Prioritetams </w:t>
      </w:r>
      <w:r w:rsidR="00F94F16" w:rsidRPr="002B72A9">
        <w:t>įgyvendinti suformuluota 1</w:t>
      </w:r>
      <w:r w:rsidR="000F66DD" w:rsidRPr="002B72A9">
        <w:t>4</w:t>
      </w:r>
      <w:r w:rsidR="00F94F16" w:rsidRPr="002B72A9">
        <w:t xml:space="preserve"> tikslų, 4</w:t>
      </w:r>
      <w:r w:rsidR="000F66DD" w:rsidRPr="002B72A9">
        <w:t>3</w:t>
      </w:r>
      <w:r w:rsidR="00F94F16" w:rsidRPr="002B72A9">
        <w:t xml:space="preserve"> uždaviniai ir 20</w:t>
      </w:r>
      <w:r w:rsidR="004C3370" w:rsidRPr="002B72A9">
        <w:t>1</w:t>
      </w:r>
      <w:r w:rsidR="000F66DD" w:rsidRPr="002B72A9">
        <w:t>3</w:t>
      </w:r>
      <w:r w:rsidR="00F94F16" w:rsidRPr="002B72A9">
        <w:t xml:space="preserve"> m. – </w:t>
      </w:r>
      <w:r w:rsidR="002B72A9" w:rsidRPr="002B72A9">
        <w:t>231</w:t>
      </w:r>
      <w:r w:rsidR="009B5C09">
        <w:t xml:space="preserve"> priemonės</w:t>
      </w:r>
      <w:r w:rsidR="00F94F16" w:rsidRPr="002B72A9">
        <w:t xml:space="preserve">. Nurodyti </w:t>
      </w:r>
      <w:r w:rsidR="009B5C09">
        <w:t xml:space="preserve">priemonių </w:t>
      </w:r>
      <w:r w:rsidR="00F94F16" w:rsidRPr="004D7970">
        <w:t>įgyvendinimo rodikliai, terminai bei vykdytojai.</w:t>
      </w:r>
      <w:r w:rsidR="00DB3FE1" w:rsidRPr="004D7970">
        <w:t xml:space="preserve"> </w:t>
      </w:r>
    </w:p>
    <w:p w:rsidR="00F94F16" w:rsidRPr="004D7970" w:rsidRDefault="00F94F16" w:rsidP="00085947">
      <w:pPr>
        <w:ind w:firstLine="720"/>
        <w:jc w:val="both"/>
      </w:pPr>
      <w:r w:rsidRPr="004D7970">
        <w:t>Sprendimo projektą</w:t>
      </w:r>
      <w:r w:rsidR="00DD2AC6" w:rsidRPr="004D7970">
        <w:t>, kuriuo tvirtinama ilgalaikio plano ataskaita,</w:t>
      </w:r>
      <w:r w:rsidRPr="004D7970">
        <w:t xml:space="preserve"> sudaro 3 dalys: </w:t>
      </w:r>
    </w:p>
    <w:p w:rsidR="00F94F16" w:rsidRPr="004D7970" w:rsidRDefault="00F94F16" w:rsidP="00085947">
      <w:pPr>
        <w:ind w:firstLine="720"/>
        <w:jc w:val="both"/>
      </w:pPr>
      <w:r w:rsidRPr="004D7970">
        <w:t xml:space="preserve">1) </w:t>
      </w:r>
      <w:r w:rsidR="009B5C09" w:rsidRPr="009B5C09">
        <w:rPr>
          <w:i/>
        </w:rPr>
        <w:t>V</w:t>
      </w:r>
      <w:r w:rsidRPr="004D7970">
        <w:rPr>
          <w:i/>
        </w:rPr>
        <w:t>izijos rodikliai.</w:t>
      </w:r>
      <w:r w:rsidRPr="004D7970">
        <w:t xml:space="preserve"> Vizijos rodikliai parodo KSP veiksmų įgyvendinimo poveikį trijų pagrindinių miesto sektorių – visuomenės, ekonomikos ir aplinkos – raidai ir artėjimą prie vizijos</w:t>
      </w:r>
      <w:r w:rsidR="00DD2AC6" w:rsidRPr="004D7970">
        <w:t xml:space="preserve">. </w:t>
      </w:r>
    </w:p>
    <w:p w:rsidR="00F94F16" w:rsidRPr="004D7970" w:rsidRDefault="00F94F16" w:rsidP="00085947">
      <w:pPr>
        <w:ind w:firstLine="720"/>
        <w:jc w:val="both"/>
      </w:pPr>
      <w:r w:rsidRPr="004D7970">
        <w:t xml:space="preserve">2) </w:t>
      </w:r>
      <w:r w:rsidR="00B547A3">
        <w:t xml:space="preserve">   </w:t>
      </w:r>
      <w:r w:rsidR="009B5C09">
        <w:rPr>
          <w:i/>
        </w:rPr>
        <w:t xml:space="preserve">Tikslų-uždavinių rodikliai. </w:t>
      </w:r>
      <w:r w:rsidR="009B5C09" w:rsidRPr="009B5C09">
        <w:t>Šie</w:t>
      </w:r>
      <w:r w:rsidRPr="009B5C09">
        <w:t xml:space="preserve"> </w:t>
      </w:r>
      <w:r w:rsidRPr="004D7970">
        <w:t>rodikliai parodo</w:t>
      </w:r>
      <w:r w:rsidR="009B5C09">
        <w:t>, kaip sekasi įgyvendinti tikslus ir uždavinius.</w:t>
      </w:r>
    </w:p>
    <w:p w:rsidR="00F94F16" w:rsidRPr="004D7970" w:rsidRDefault="00EA774B" w:rsidP="00085947">
      <w:pPr>
        <w:ind w:firstLine="720"/>
        <w:jc w:val="both"/>
      </w:pPr>
      <w:r>
        <w:rPr>
          <w:noProof/>
          <w:lang w:eastAsia="lt-LT"/>
        </w:rPr>
        <mc:AlternateContent>
          <mc:Choice Requires="wps">
            <w:drawing>
              <wp:anchor distT="0" distB="0" distL="114300" distR="114300" simplePos="0" relativeHeight="251659264" behindDoc="1" locked="0" layoutInCell="1" allowOverlap="1">
                <wp:simplePos x="0" y="0"/>
                <wp:positionH relativeFrom="column">
                  <wp:posOffset>2551586</wp:posOffset>
                </wp:positionH>
                <wp:positionV relativeFrom="paragraph">
                  <wp:posOffset>543883</wp:posOffset>
                </wp:positionV>
                <wp:extent cx="785004" cy="155275"/>
                <wp:effectExtent l="0" t="0" r="15240" b="16510"/>
                <wp:wrapNone/>
                <wp:docPr id="2" name="Stačiakampis 2"/>
                <wp:cNvGraphicFramePr/>
                <a:graphic xmlns:a="http://schemas.openxmlformats.org/drawingml/2006/main">
                  <a:graphicData uri="http://schemas.microsoft.com/office/word/2010/wordprocessingShape">
                    <wps:wsp>
                      <wps:cNvSpPr/>
                      <wps:spPr>
                        <a:xfrm>
                          <a:off x="0" y="0"/>
                          <a:ext cx="785004" cy="1552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Stačiakampis 2" o:spid="_x0000_s1026" style="position:absolute;margin-left:200.9pt;margin-top:42.85pt;width:61.8pt;height:1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4sq3bQIAAB4FAAAOAAAAZHJzL2Uyb0RvYy54bWysVEtuGzEM3RfoHQTtm/nArlPD48BIkKJA kAR1iqwVjRQL0a+U7LF7h96qByulGX+QBl0U3Wio4SNFPj1qdrE1mmwEBOVsQ6uzkhJhuWuVfW7o t4frD+eUhMhsy7SzoqE7EejF/P27WeenonYrp1sBBJPYMO18Q1cx+mlRBL4ShoUz54VFp3RgWMQt PBctsA6zG13UZfmx6By0HhwXIeDfq95J5zm/lILHOymDiEQ3FGuLeYW8PqW1mM/Y9BmYXyk+lMH+ oQrDlMVDD6muWGRkDeqPVEZxcMHJeMadKZyUiovcA3ZTla+6Wa6YF7kXJCf4A03h/6Xlt5t7IKpt aE2JZQavaBnZr5+KvTDjVSB1oqjzYYrIpb+HYRfQTP1uJZj0xU7INtO6O9AqtpFw/Dk5H5fliBKO rmo8rifjlLM4BnsI8bNwhiSjoYC3lslkm5sQe+geks7SlnSYqZ6U+f6KVF1fT7biTose9lVIbA0r qHO6LCpxqYFsGMqhfamGOrRFZAqRSutDUPVWkI77oAGbwkQW2iGwfCvweNoBnU90Nh4CjbIO/h4s ezzSd9JrMp9cu8ObBNdLPHh+rZDNGxbiPQPUNKof5zTe4SK1QwLdYFGycvDjrf8Jj1JDLyUdzkhD w/c1A0GJ/mJRhJ+q0SgNVd6MxpMaN3DqeTr12LW5dMh7hS+C59lM+Kj3pgRnHnGcF+lUdDHL8eyG 8gj7zWXsZxcfBC4WiwzDQfIs3til5yl5YjWp5WH7yMAPkoqoxVu3nyc2faWsHpsirVuso5Mqy+7I 68A3DmEW7vBgpCk/3WfU8Vmb/wYAAP//AwBQSwMEFAAGAAgAAAAhAJ68bbDfAAAACgEAAA8AAABk cnMvZG93bnJldi54bWxMj8FOwzAQRO9I/IO1SNyonahpS4hTVQhOICoKB45uvCQR9jqy3ST9e8yJ HlfzNPO22s7WsBF96B1JyBYCGFLjdE+thM+P57sNsBAVaWUcoYQzBtjW11eVKrWb6B3HQ2xZKqFQ KgldjEPJeWg6tCos3ICUsm/nrYrp9C3XXk2p3BqeC7HiVvWUFjo14GOHzc/hZCW4fX82O3//Nr7i +utlH8U0r56kvL2Zdw/AIs7xH4Y//aQOdXI6uhPpwIyEpciSepSwKdbAElDkxRLYMZGZyIHXFb98 of4FAAD//wMAUEsBAi0AFAAGAAgAAAAhALaDOJL+AAAA4QEAABMAAAAAAAAAAAAAAAAAAAAAAFtD b250ZW50X1R5cGVzXS54bWxQSwECLQAUAAYACAAAACEAOP0h/9YAAACUAQAACwAAAAAAAAAAAAAA AAAvAQAAX3JlbHMvLnJlbHNQSwECLQAUAAYACAAAACEAseLKt20CAAAeBQAADgAAAAAAAAAAAAAA AAAuAgAAZHJzL2Uyb0RvYy54bWxQSwECLQAUAAYACAAAACEAnrxtsN8AAAAKAQAADwAAAAAAAAAA AAAAAADHBAAAZHJzL2Rvd25yZXYueG1sUEsFBgAAAAAEAAQA8wAAANMFAAAAAA== " fillcolor="white [3201]" strokecolor="black [3200]" strokeweight="1pt"/>
            </w:pict>
          </mc:Fallback>
        </mc:AlternateContent>
      </w:r>
      <w:r w:rsidR="00B547A3">
        <w:t xml:space="preserve">3) </w:t>
      </w:r>
      <w:r w:rsidR="009B5C09">
        <w:rPr>
          <w:i/>
        </w:rPr>
        <w:t>Priemonių</w:t>
      </w:r>
      <w:r w:rsidR="00F94F16" w:rsidRPr="004D7970">
        <w:rPr>
          <w:i/>
        </w:rPr>
        <w:t xml:space="preserve"> įgyvendinimo rodikliai.</w:t>
      </w:r>
      <w:r w:rsidR="00F94F16" w:rsidRPr="004D7970">
        <w:t xml:space="preserve"> </w:t>
      </w:r>
      <w:r w:rsidR="009B5C09">
        <w:t>Šie</w:t>
      </w:r>
      <w:r w:rsidR="00F94F16" w:rsidRPr="004D7970">
        <w:t xml:space="preserve"> rodikliai apibūdina </w:t>
      </w:r>
      <w:r w:rsidR="009B5C09">
        <w:t>konkrečios priemonės</w:t>
      </w:r>
      <w:r w:rsidR="00F94F16" w:rsidRPr="004D7970">
        <w:t xml:space="preserve"> įgyvendinimą. </w:t>
      </w:r>
      <w:r w:rsidR="009B5C09">
        <w:t>Priemonių</w:t>
      </w:r>
      <w:r w:rsidR="00F94F16" w:rsidRPr="004D7970">
        <w:t xml:space="preserve"> įgyvendinimas pagal atitinkamą įgyvendinimo lygį žymimas skirtingomis spalvomis bei skaitine verte (</w:t>
      </w:r>
      <w:r w:rsidR="00F94F16" w:rsidRPr="004D7970">
        <w:rPr>
          <w:shd w:val="clear" w:color="auto" w:fill="FF99CC"/>
        </w:rPr>
        <w:t>raudona spalva</w:t>
      </w:r>
      <w:r w:rsidR="00F94F16" w:rsidRPr="004D7970">
        <w:t xml:space="preserve">  – </w:t>
      </w:r>
      <w:r w:rsidR="009B5C09">
        <w:t>priemonė</w:t>
      </w:r>
      <w:r w:rsidR="00F94F16" w:rsidRPr="004D7970">
        <w:t xml:space="preserve"> neįgyvendint</w:t>
      </w:r>
      <w:r w:rsidR="009B5C09">
        <w:t>a</w:t>
      </w:r>
      <w:r w:rsidR="00F94F16" w:rsidRPr="004D7970">
        <w:t xml:space="preserve"> vertinant pagal </w:t>
      </w:r>
      <w:r w:rsidR="009B5C09">
        <w:t>planuotą terminą bei rodiklius</w:t>
      </w:r>
      <w:r w:rsidR="00F94F16" w:rsidRPr="004D7970">
        <w:t xml:space="preserve">; balta spalva – </w:t>
      </w:r>
      <w:r w:rsidR="009B5C09">
        <w:t xml:space="preserve">priemonė </w:t>
      </w:r>
      <w:r w:rsidR="00F94F16" w:rsidRPr="004D7970">
        <w:t>įgyvendina</w:t>
      </w:r>
      <w:r w:rsidR="009B5C09" w:rsidRPr="009B5C09">
        <w:t>ma</w:t>
      </w:r>
      <w:r w:rsidR="00F94F16" w:rsidRPr="004D7970">
        <w:t xml:space="preserve">, vertinant pagal planuotą terminą bei </w:t>
      </w:r>
      <w:r w:rsidR="009B5C09">
        <w:t>rodiklius</w:t>
      </w:r>
      <w:r w:rsidR="00F94F16" w:rsidRPr="004D7970">
        <w:t xml:space="preserve">; </w:t>
      </w:r>
      <w:r w:rsidR="00F94F16" w:rsidRPr="004D7970">
        <w:rPr>
          <w:shd w:val="clear" w:color="auto" w:fill="CCFFCC"/>
        </w:rPr>
        <w:t>žalia spalva</w:t>
      </w:r>
      <w:r w:rsidR="00F94F16" w:rsidRPr="004D7970">
        <w:t xml:space="preserve"> – </w:t>
      </w:r>
      <w:r w:rsidR="009B5C09">
        <w:t xml:space="preserve"> priemonė</w:t>
      </w:r>
      <w:r w:rsidR="00F94F16" w:rsidRPr="004D7970">
        <w:t xml:space="preserve"> įgyvendint</w:t>
      </w:r>
      <w:r w:rsidR="00F94F16" w:rsidRPr="009B5C09">
        <w:t>a</w:t>
      </w:r>
      <w:r w:rsidR="00F94F16" w:rsidRPr="004D7970">
        <w:t>, vertinant pagal p</w:t>
      </w:r>
      <w:r>
        <w:t xml:space="preserve">lanuotą terminą bei </w:t>
      </w:r>
      <w:r w:rsidR="009B5C09">
        <w:t>rodiklius</w:t>
      </w:r>
      <w:r w:rsidR="00F94F16" w:rsidRPr="004D7970">
        <w:t xml:space="preserve">). </w:t>
      </w:r>
    </w:p>
    <w:p w:rsidR="007F2247" w:rsidRPr="004D7970" w:rsidRDefault="007F2247" w:rsidP="00541C8E">
      <w:pPr>
        <w:ind w:firstLine="720"/>
        <w:jc w:val="both"/>
      </w:pPr>
      <w:r w:rsidRPr="004D7970">
        <w:t xml:space="preserve">Žemiau pateikiamos išvados apie KSP įgyvendinimo rezultatus pagal tris aukščiau išvardintas dalis. </w:t>
      </w:r>
    </w:p>
    <w:p w:rsidR="007F2247" w:rsidRDefault="00F94F16" w:rsidP="00541C8E">
      <w:pPr>
        <w:ind w:firstLine="720"/>
        <w:jc w:val="both"/>
        <w:rPr>
          <w:b/>
          <w:bCs/>
        </w:rPr>
      </w:pPr>
      <w:r w:rsidRPr="00BA6BA8">
        <w:rPr>
          <w:b/>
          <w:bCs/>
        </w:rPr>
        <w:t>3. </w:t>
      </w:r>
      <w:r w:rsidR="009F396E">
        <w:rPr>
          <w:b/>
          <w:bCs/>
        </w:rPr>
        <w:t xml:space="preserve"> Pagrindiniai </w:t>
      </w:r>
      <w:r>
        <w:rPr>
          <w:b/>
          <w:bCs/>
        </w:rPr>
        <w:t>KSP įgyvendinimo 20</w:t>
      </w:r>
      <w:r w:rsidR="004C3370">
        <w:rPr>
          <w:b/>
          <w:bCs/>
        </w:rPr>
        <w:t>1</w:t>
      </w:r>
      <w:r w:rsidR="003A4755" w:rsidRPr="003A4755">
        <w:rPr>
          <w:b/>
          <w:bCs/>
          <w:lang w:val="en-US"/>
        </w:rPr>
        <w:t>3</w:t>
      </w:r>
      <w:r>
        <w:rPr>
          <w:b/>
          <w:bCs/>
        </w:rPr>
        <w:t xml:space="preserve"> m. ataskaitos r</w:t>
      </w:r>
      <w:r w:rsidRPr="00BA6BA8">
        <w:rPr>
          <w:b/>
          <w:bCs/>
        </w:rPr>
        <w:t>ezultat</w:t>
      </w:r>
      <w:r>
        <w:rPr>
          <w:b/>
          <w:bCs/>
        </w:rPr>
        <w:t>ai</w:t>
      </w:r>
      <w:r w:rsidRPr="00BA6BA8">
        <w:rPr>
          <w:b/>
          <w:bCs/>
        </w:rPr>
        <w:t>.</w:t>
      </w:r>
    </w:p>
    <w:p w:rsidR="00541C8E" w:rsidRDefault="007F2247" w:rsidP="00935019">
      <w:pPr>
        <w:ind w:firstLine="720"/>
        <w:jc w:val="both"/>
        <w:rPr>
          <w:b/>
          <w:bCs/>
        </w:rPr>
      </w:pPr>
      <w:r>
        <w:rPr>
          <w:b/>
          <w:bCs/>
        </w:rPr>
        <w:t xml:space="preserve">1) Vizijos rodikliai. </w:t>
      </w:r>
      <w:r w:rsidR="00541C8E" w:rsidRPr="00541C8E">
        <w:rPr>
          <w:bCs/>
        </w:rPr>
        <w:t>Juos sudaro 5 rodikliai: gyventojų skaičiaus pokytis (proc.), tiesioginės užsienio investicijos vienam gyventojui (tūkst. Lt), vidutinė tikėtina gyvenimo trukmė (m.), vidutinis mėnesinis (bruto) darbo užmokestis (Lt), registruotų bedarbių ir darbingo amžiaus gyventojų santykis (proc.)</w:t>
      </w:r>
    </w:p>
    <w:p w:rsidR="00935019" w:rsidRDefault="00541C8E" w:rsidP="00935019">
      <w:pPr>
        <w:ind w:firstLine="720"/>
        <w:jc w:val="both"/>
        <w:rPr>
          <w:bCs/>
        </w:rPr>
      </w:pPr>
      <w:r w:rsidRPr="00541C8E">
        <w:rPr>
          <w:b/>
          <w:bCs/>
        </w:rPr>
        <w:t xml:space="preserve"> </w:t>
      </w:r>
      <w:r>
        <w:rPr>
          <w:bCs/>
        </w:rPr>
        <w:t>Kai kurios v</w:t>
      </w:r>
      <w:r w:rsidR="003A2229" w:rsidRPr="005E7FE7">
        <w:rPr>
          <w:bCs/>
        </w:rPr>
        <w:t xml:space="preserve">izijos rodiklių </w:t>
      </w:r>
      <w:r w:rsidR="005E7FE7" w:rsidRPr="005E7FE7">
        <w:rPr>
          <w:bCs/>
        </w:rPr>
        <w:t xml:space="preserve">reikšmių tendencijos </w:t>
      </w:r>
      <w:r w:rsidR="005E7FE7">
        <w:rPr>
          <w:bCs/>
        </w:rPr>
        <w:t xml:space="preserve">yra gan </w:t>
      </w:r>
      <w:r w:rsidR="0027335B">
        <w:rPr>
          <w:bCs/>
        </w:rPr>
        <w:t>palankios Klaipėdos miesto savivaldybei</w:t>
      </w:r>
      <w:r w:rsidR="009B5C09">
        <w:rPr>
          <w:bCs/>
        </w:rPr>
        <w:t>.</w:t>
      </w:r>
      <w:r w:rsidR="005E7FE7">
        <w:rPr>
          <w:bCs/>
        </w:rPr>
        <w:t xml:space="preserve"> </w:t>
      </w:r>
      <w:r w:rsidR="00935019">
        <w:rPr>
          <w:bCs/>
        </w:rPr>
        <w:t xml:space="preserve">Lyginant 2011 ir 2012 m. duomenis (vėlesnių duomenų nėra), </w:t>
      </w:r>
      <w:r>
        <w:rPr>
          <w:bCs/>
        </w:rPr>
        <w:t xml:space="preserve"> šiek tiek padidėjo</w:t>
      </w:r>
      <w:r w:rsidR="00376B2B" w:rsidRPr="00376B2B">
        <w:rPr>
          <w:bCs/>
        </w:rPr>
        <w:t xml:space="preserve"> tiesioginės užsienio investicijos, tenkančios vienam gyventojui</w:t>
      </w:r>
      <w:r w:rsidR="00376B2B">
        <w:rPr>
          <w:bCs/>
        </w:rPr>
        <w:t xml:space="preserve"> - </w:t>
      </w:r>
      <w:r w:rsidR="00376B2B" w:rsidRPr="00376B2B">
        <w:rPr>
          <w:bCs/>
        </w:rPr>
        <w:t>15,59</w:t>
      </w:r>
      <w:r w:rsidR="00376B2B">
        <w:rPr>
          <w:bCs/>
        </w:rPr>
        <w:t xml:space="preserve"> tūkst. Lt (2012 m. - </w:t>
      </w:r>
      <w:r w:rsidR="00376B2B" w:rsidRPr="00376B2B">
        <w:rPr>
          <w:bCs/>
        </w:rPr>
        <w:t>15,18</w:t>
      </w:r>
      <w:r w:rsidR="00376B2B">
        <w:rPr>
          <w:bCs/>
        </w:rPr>
        <w:t xml:space="preserve"> tūkst. Lt)</w:t>
      </w:r>
      <w:r w:rsidR="00935019">
        <w:rPr>
          <w:bCs/>
        </w:rPr>
        <w:t>. Klaipėdos miestas pagal tiesioginių užsienio investicijų, tenkančių vienam gyventojui, rodiklį 2012 m. užėmė antrą vietą tarp didžiųjų šalies miestų (žr. 1 diagramą).</w:t>
      </w:r>
    </w:p>
    <w:p w:rsidR="00935019" w:rsidRDefault="00935019" w:rsidP="0027335B">
      <w:pPr>
        <w:ind w:firstLine="720"/>
        <w:jc w:val="both"/>
        <w:rPr>
          <w:bCs/>
        </w:rPr>
      </w:pPr>
    </w:p>
    <w:p w:rsidR="00935019" w:rsidRDefault="00935019" w:rsidP="0027335B">
      <w:pPr>
        <w:ind w:firstLine="720"/>
        <w:jc w:val="both"/>
        <w:rPr>
          <w:bCs/>
        </w:rPr>
      </w:pPr>
      <w:r>
        <w:rPr>
          <w:noProof/>
          <w:lang w:eastAsia="lt-LT"/>
        </w:rPr>
        <w:drawing>
          <wp:inline distT="0" distB="0" distL="0" distR="0" wp14:anchorId="1512ED65" wp14:editId="70A05592">
            <wp:extent cx="5286375" cy="174307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019" w:rsidRDefault="00935019" w:rsidP="00935019">
      <w:pPr>
        <w:ind w:firstLine="720"/>
        <w:jc w:val="center"/>
        <w:rPr>
          <w:b/>
          <w:bCs/>
          <w:sz w:val="20"/>
          <w:szCs w:val="20"/>
        </w:rPr>
      </w:pPr>
      <w:r w:rsidRPr="00935019">
        <w:rPr>
          <w:b/>
          <w:bCs/>
          <w:sz w:val="20"/>
          <w:szCs w:val="20"/>
        </w:rPr>
        <w:t>1 diagrama. Tiesioginės užsienio investicijos, tenkančios vienam gyventojui, tūkst.</w:t>
      </w:r>
      <w:r w:rsidR="00EF488F">
        <w:rPr>
          <w:b/>
          <w:bCs/>
          <w:sz w:val="20"/>
          <w:szCs w:val="20"/>
        </w:rPr>
        <w:t xml:space="preserve"> </w:t>
      </w:r>
      <w:r w:rsidRPr="00935019">
        <w:rPr>
          <w:b/>
          <w:bCs/>
          <w:sz w:val="20"/>
          <w:szCs w:val="20"/>
        </w:rPr>
        <w:t xml:space="preserve">Lt 2012 m. </w:t>
      </w:r>
    </w:p>
    <w:p w:rsidR="00935019" w:rsidRDefault="00935019" w:rsidP="00935019">
      <w:pPr>
        <w:ind w:firstLine="720"/>
        <w:jc w:val="center"/>
        <w:rPr>
          <w:b/>
          <w:bCs/>
          <w:sz w:val="20"/>
          <w:szCs w:val="20"/>
        </w:rPr>
      </w:pPr>
      <w:r w:rsidRPr="00935019">
        <w:rPr>
          <w:b/>
          <w:bCs/>
          <w:sz w:val="20"/>
          <w:szCs w:val="20"/>
        </w:rPr>
        <w:t>Duomenų šaltinis – Statistikos departamentas prie Lietuvos Respublikos Vyriausybės</w:t>
      </w:r>
    </w:p>
    <w:p w:rsidR="00EF488F" w:rsidRPr="00935019" w:rsidRDefault="00EF488F" w:rsidP="00935019">
      <w:pPr>
        <w:ind w:firstLine="720"/>
        <w:jc w:val="center"/>
        <w:rPr>
          <w:b/>
          <w:bCs/>
          <w:sz w:val="20"/>
          <w:szCs w:val="20"/>
        </w:rPr>
      </w:pPr>
    </w:p>
    <w:p w:rsidR="00935019" w:rsidRDefault="00935019" w:rsidP="0027335B">
      <w:pPr>
        <w:ind w:firstLine="720"/>
        <w:jc w:val="both"/>
        <w:rPr>
          <w:bCs/>
        </w:rPr>
      </w:pPr>
      <w:r>
        <w:rPr>
          <w:bCs/>
        </w:rPr>
        <w:t>V</w:t>
      </w:r>
      <w:r w:rsidR="00376B2B" w:rsidRPr="00376B2B">
        <w:rPr>
          <w:bCs/>
        </w:rPr>
        <w:t>idutinis mėnesinis (bruto) darbo užmokestis</w:t>
      </w:r>
      <w:r w:rsidR="00376B2B">
        <w:rPr>
          <w:bCs/>
        </w:rPr>
        <w:t xml:space="preserve"> </w:t>
      </w:r>
      <w:r>
        <w:rPr>
          <w:bCs/>
        </w:rPr>
        <w:t>Klaipėdos mieste</w:t>
      </w:r>
      <w:r w:rsidR="00EF488F">
        <w:rPr>
          <w:bCs/>
        </w:rPr>
        <w:t xml:space="preserve"> 2013 m.</w:t>
      </w:r>
      <w:r w:rsidR="00541C8E">
        <w:rPr>
          <w:bCs/>
        </w:rPr>
        <w:t xml:space="preserve"> IV ketvirtį </w:t>
      </w:r>
      <w:r>
        <w:rPr>
          <w:bCs/>
        </w:rPr>
        <w:t xml:space="preserve"> siekė</w:t>
      </w:r>
      <w:r w:rsidR="00376B2B">
        <w:rPr>
          <w:bCs/>
        </w:rPr>
        <w:t xml:space="preserve"> </w:t>
      </w:r>
      <w:r w:rsidR="00376B2B" w:rsidRPr="00376B2B">
        <w:rPr>
          <w:bCs/>
        </w:rPr>
        <w:t>2486,3</w:t>
      </w:r>
      <w:r w:rsidR="00376B2B">
        <w:rPr>
          <w:bCs/>
        </w:rPr>
        <w:t xml:space="preserve"> Lt/mėn. (2012 m. - </w:t>
      </w:r>
      <w:r w:rsidR="00376B2B" w:rsidRPr="00376B2B">
        <w:rPr>
          <w:bCs/>
        </w:rPr>
        <w:t>2344,6</w:t>
      </w:r>
      <w:r w:rsidR="00376B2B">
        <w:rPr>
          <w:bCs/>
        </w:rPr>
        <w:t xml:space="preserve"> Lt/mėn.</w:t>
      </w:r>
      <w:r>
        <w:rPr>
          <w:bCs/>
        </w:rPr>
        <w:t>).</w:t>
      </w:r>
      <w:r w:rsidR="00541C8E">
        <w:rPr>
          <w:bCs/>
        </w:rPr>
        <w:t xml:space="preserve"> Vidutinis mėnesinis darbo užmokestis Klaipėdos mieste buvo aukštesnis nei vidutiniškai šalyje ir tarp visų Lietuvos savivaldybių žemesnis tik už sostinės Vilniaus (žr. 2 diagramą).</w:t>
      </w:r>
    </w:p>
    <w:p w:rsidR="00541C8E" w:rsidRDefault="00541C8E" w:rsidP="00541C8E">
      <w:pPr>
        <w:ind w:firstLine="720"/>
        <w:jc w:val="center"/>
        <w:rPr>
          <w:bCs/>
        </w:rPr>
      </w:pPr>
      <w:r>
        <w:rPr>
          <w:noProof/>
          <w:lang w:eastAsia="lt-LT"/>
        </w:rPr>
        <w:drawing>
          <wp:inline distT="0" distB="0" distL="0" distR="0" wp14:anchorId="0EA7738D" wp14:editId="490896C1">
            <wp:extent cx="5210175" cy="2457450"/>
            <wp:effectExtent l="0" t="0" r="9525" b="1905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C8E" w:rsidRPr="00541C8E" w:rsidRDefault="00541C8E" w:rsidP="00541C8E">
      <w:pPr>
        <w:ind w:firstLine="720"/>
        <w:jc w:val="center"/>
        <w:rPr>
          <w:b/>
          <w:bCs/>
          <w:sz w:val="20"/>
          <w:szCs w:val="20"/>
        </w:rPr>
      </w:pPr>
      <w:r w:rsidRPr="00541C8E">
        <w:rPr>
          <w:b/>
          <w:bCs/>
          <w:sz w:val="20"/>
          <w:szCs w:val="20"/>
        </w:rPr>
        <w:t>2 diagrama. Vidutinis mėnes</w:t>
      </w:r>
      <w:r w:rsidR="001A7A90">
        <w:rPr>
          <w:b/>
          <w:bCs/>
          <w:sz w:val="20"/>
          <w:szCs w:val="20"/>
        </w:rPr>
        <w:t>i</w:t>
      </w:r>
      <w:r w:rsidRPr="00541C8E">
        <w:rPr>
          <w:b/>
          <w:bCs/>
          <w:sz w:val="20"/>
          <w:szCs w:val="20"/>
        </w:rPr>
        <w:t>nis (bruto) darbo užmokestis 2013 m. IV ketvirtį.</w:t>
      </w:r>
    </w:p>
    <w:p w:rsidR="00541C8E" w:rsidRPr="00541C8E" w:rsidRDefault="00541C8E" w:rsidP="00541C8E">
      <w:pPr>
        <w:ind w:firstLine="720"/>
        <w:jc w:val="center"/>
        <w:rPr>
          <w:b/>
          <w:bCs/>
          <w:sz w:val="20"/>
          <w:szCs w:val="20"/>
        </w:rPr>
      </w:pPr>
      <w:r w:rsidRPr="00541C8E">
        <w:rPr>
          <w:b/>
          <w:bCs/>
          <w:sz w:val="20"/>
          <w:szCs w:val="20"/>
        </w:rPr>
        <w:t>Duomenų šaltinis – Statistikos departamentas prie Lietuvos Respublikos Vyriausybės</w:t>
      </w:r>
    </w:p>
    <w:p w:rsidR="00541C8E" w:rsidRPr="00541C8E" w:rsidRDefault="00541C8E" w:rsidP="00541C8E">
      <w:pPr>
        <w:rPr>
          <w:b/>
          <w:bCs/>
          <w:sz w:val="20"/>
          <w:szCs w:val="20"/>
        </w:rPr>
      </w:pPr>
    </w:p>
    <w:p w:rsidR="00637704" w:rsidRDefault="00637704" w:rsidP="0027335B">
      <w:pPr>
        <w:ind w:firstLine="720"/>
        <w:jc w:val="both"/>
        <w:rPr>
          <w:bCs/>
        </w:rPr>
      </w:pPr>
      <w:r>
        <w:rPr>
          <w:bCs/>
        </w:rPr>
        <w:t>Lyginant su 2012 m., sumažėjo r</w:t>
      </w:r>
      <w:r w:rsidRPr="00376B2B">
        <w:rPr>
          <w:bCs/>
        </w:rPr>
        <w:t>egistruotų bedarbių ir darbingo amžiaus gyventojų santyk</w:t>
      </w:r>
      <w:r>
        <w:rPr>
          <w:bCs/>
        </w:rPr>
        <w:t xml:space="preserve">į rodančio rodiklio reikšmė  - </w:t>
      </w:r>
      <w:r w:rsidRPr="00376B2B">
        <w:rPr>
          <w:bCs/>
        </w:rPr>
        <w:t>8,4</w:t>
      </w:r>
      <w:r>
        <w:rPr>
          <w:bCs/>
        </w:rPr>
        <w:t xml:space="preserve"> proc. (2012 m. - </w:t>
      </w:r>
      <w:r w:rsidRPr="00376B2B">
        <w:rPr>
          <w:bCs/>
        </w:rPr>
        <w:t>9,3</w:t>
      </w:r>
      <w:r>
        <w:rPr>
          <w:bCs/>
        </w:rPr>
        <w:t xml:space="preserve"> proc.). Klaipėdos miesto rodiklis 2013 m. buvo mažesnis nei vidutiniškai šalyje ir panašus į kitų didžiųjų Lietuvos miestų (žr. </w:t>
      </w:r>
      <w:r w:rsidR="00541C8E">
        <w:rPr>
          <w:bCs/>
        </w:rPr>
        <w:t>3</w:t>
      </w:r>
      <w:r>
        <w:rPr>
          <w:bCs/>
        </w:rPr>
        <w:t xml:space="preserve"> diagramą).</w:t>
      </w:r>
    </w:p>
    <w:p w:rsidR="00637704" w:rsidRDefault="00637704" w:rsidP="0027335B">
      <w:pPr>
        <w:ind w:firstLine="720"/>
        <w:jc w:val="both"/>
        <w:rPr>
          <w:bCs/>
        </w:rPr>
      </w:pPr>
    </w:p>
    <w:p w:rsidR="00637704" w:rsidRDefault="00637704" w:rsidP="00541C8E">
      <w:pPr>
        <w:ind w:firstLine="720"/>
        <w:jc w:val="center"/>
        <w:rPr>
          <w:bCs/>
        </w:rPr>
      </w:pPr>
      <w:r>
        <w:rPr>
          <w:noProof/>
          <w:lang w:eastAsia="lt-LT"/>
        </w:rPr>
        <w:drawing>
          <wp:inline distT="0" distB="0" distL="0" distR="0" wp14:anchorId="5010A27A" wp14:editId="189011A1">
            <wp:extent cx="5324475" cy="2028825"/>
            <wp:effectExtent l="0" t="0" r="9525"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704" w:rsidRDefault="00541C8E" w:rsidP="00637704">
      <w:pPr>
        <w:ind w:firstLine="720"/>
        <w:jc w:val="center"/>
        <w:rPr>
          <w:b/>
          <w:bCs/>
          <w:sz w:val="20"/>
          <w:szCs w:val="20"/>
        </w:rPr>
      </w:pPr>
      <w:r>
        <w:rPr>
          <w:b/>
          <w:bCs/>
          <w:sz w:val="20"/>
          <w:szCs w:val="20"/>
        </w:rPr>
        <w:t>3</w:t>
      </w:r>
      <w:r w:rsidR="00637704" w:rsidRPr="00935019">
        <w:rPr>
          <w:b/>
          <w:bCs/>
          <w:sz w:val="20"/>
          <w:szCs w:val="20"/>
        </w:rPr>
        <w:t xml:space="preserve"> diagrama. </w:t>
      </w:r>
      <w:r w:rsidR="00637704">
        <w:rPr>
          <w:b/>
          <w:bCs/>
          <w:sz w:val="20"/>
          <w:szCs w:val="20"/>
        </w:rPr>
        <w:t>Registruotų bedarbių ir darbingo amžiaus gyventojų santykis, proc.</w:t>
      </w:r>
      <w:r w:rsidR="00637704" w:rsidRPr="00935019">
        <w:rPr>
          <w:b/>
          <w:bCs/>
          <w:sz w:val="20"/>
          <w:szCs w:val="20"/>
        </w:rPr>
        <w:t xml:space="preserve"> 201</w:t>
      </w:r>
      <w:r w:rsidR="00637704">
        <w:rPr>
          <w:b/>
          <w:bCs/>
          <w:sz w:val="20"/>
          <w:szCs w:val="20"/>
        </w:rPr>
        <w:t>3</w:t>
      </w:r>
      <w:r w:rsidR="00637704" w:rsidRPr="00935019">
        <w:rPr>
          <w:b/>
          <w:bCs/>
          <w:sz w:val="20"/>
          <w:szCs w:val="20"/>
        </w:rPr>
        <w:t xml:space="preserve"> m. </w:t>
      </w:r>
    </w:p>
    <w:p w:rsidR="00637704" w:rsidRDefault="00637704" w:rsidP="00637704">
      <w:pPr>
        <w:ind w:firstLine="720"/>
        <w:jc w:val="center"/>
        <w:rPr>
          <w:b/>
          <w:bCs/>
          <w:sz w:val="20"/>
          <w:szCs w:val="20"/>
        </w:rPr>
      </w:pPr>
      <w:r w:rsidRPr="00935019">
        <w:rPr>
          <w:b/>
          <w:bCs/>
          <w:sz w:val="20"/>
          <w:szCs w:val="20"/>
        </w:rPr>
        <w:t>Duomenų šaltinis – Statistikos departamentas prie Lietuvos Respublikos Vyriausybės</w:t>
      </w:r>
    </w:p>
    <w:p w:rsidR="00637704" w:rsidRDefault="00637704" w:rsidP="0027335B">
      <w:pPr>
        <w:ind w:firstLine="720"/>
        <w:jc w:val="both"/>
        <w:rPr>
          <w:bCs/>
        </w:rPr>
      </w:pPr>
    </w:p>
    <w:p w:rsidR="00541C8E" w:rsidRDefault="00875408" w:rsidP="0027335B">
      <w:pPr>
        <w:ind w:firstLine="720"/>
        <w:jc w:val="both"/>
        <w:rPr>
          <w:bCs/>
        </w:rPr>
      </w:pPr>
      <w:r>
        <w:rPr>
          <w:bCs/>
        </w:rPr>
        <w:t>Klaipėdos mieste 2013 m., nors ir mažesnis nei 2012 m., bet</w:t>
      </w:r>
      <w:r w:rsidR="00541C8E">
        <w:rPr>
          <w:bCs/>
        </w:rPr>
        <w:t xml:space="preserve"> išlik</w:t>
      </w:r>
      <w:r>
        <w:rPr>
          <w:bCs/>
        </w:rPr>
        <w:t>o neigiamas gyventojų skaičiaus pokytis: 2013 m. lyginant su 2012 m. Klaipėdos mieste gyveno 0,9 proc. mažiau gyventojų. Situacija šalyje ir didžiuosiuose šalies miestuose buvo panaši, gyventojų skaičius šiek tiek augo tik sostinėje (žr. 4 diagramą).</w:t>
      </w:r>
    </w:p>
    <w:p w:rsidR="00875408" w:rsidRDefault="00875408" w:rsidP="0027335B">
      <w:pPr>
        <w:ind w:firstLine="720"/>
        <w:jc w:val="both"/>
        <w:rPr>
          <w:bCs/>
        </w:rPr>
      </w:pPr>
    </w:p>
    <w:p w:rsidR="00875408" w:rsidRDefault="00875408" w:rsidP="00875408">
      <w:pPr>
        <w:ind w:firstLine="720"/>
        <w:jc w:val="center"/>
        <w:rPr>
          <w:bCs/>
        </w:rPr>
      </w:pPr>
      <w:r>
        <w:rPr>
          <w:noProof/>
          <w:lang w:eastAsia="lt-LT"/>
        </w:rPr>
        <w:lastRenderedPageBreak/>
        <w:drawing>
          <wp:inline distT="0" distB="0" distL="0" distR="0" wp14:anchorId="2FCBA1DD" wp14:editId="4653A0D4">
            <wp:extent cx="5600700" cy="2676525"/>
            <wp:effectExtent l="0" t="0" r="1905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5408" w:rsidRPr="00875408" w:rsidRDefault="00875408" w:rsidP="00875408">
      <w:pPr>
        <w:jc w:val="center"/>
        <w:rPr>
          <w:b/>
          <w:bCs/>
          <w:sz w:val="20"/>
          <w:szCs w:val="20"/>
        </w:rPr>
      </w:pPr>
      <w:r w:rsidRPr="00875408">
        <w:rPr>
          <w:b/>
          <w:bCs/>
          <w:sz w:val="20"/>
          <w:szCs w:val="20"/>
        </w:rPr>
        <w:t>4 diagrama. Gyventojų skaičiaus pokytis (lyginant 2013 m. su 2012 m.), proc.</w:t>
      </w:r>
    </w:p>
    <w:p w:rsidR="00875408" w:rsidRPr="00875408" w:rsidRDefault="00875408" w:rsidP="00875408">
      <w:pPr>
        <w:ind w:firstLine="720"/>
        <w:jc w:val="center"/>
        <w:rPr>
          <w:b/>
          <w:bCs/>
          <w:sz w:val="20"/>
          <w:szCs w:val="20"/>
        </w:rPr>
      </w:pPr>
      <w:r w:rsidRPr="00875408">
        <w:rPr>
          <w:b/>
          <w:bCs/>
          <w:sz w:val="20"/>
          <w:szCs w:val="20"/>
        </w:rPr>
        <w:t>Duomenų šaltinis – Statistikos departamentas prie Lietuvos Respublikos Vyriausybės</w:t>
      </w:r>
    </w:p>
    <w:p w:rsidR="00875408" w:rsidRPr="00875408" w:rsidRDefault="00875408" w:rsidP="00875408">
      <w:pPr>
        <w:jc w:val="center"/>
        <w:rPr>
          <w:bCs/>
          <w:sz w:val="20"/>
          <w:szCs w:val="20"/>
        </w:rPr>
      </w:pPr>
    </w:p>
    <w:p w:rsidR="00875408" w:rsidRDefault="00C558DC" w:rsidP="00541C8E">
      <w:pPr>
        <w:ind w:firstLine="720"/>
        <w:jc w:val="both"/>
        <w:rPr>
          <w:bCs/>
        </w:rPr>
      </w:pPr>
      <w:r>
        <w:rPr>
          <w:bCs/>
        </w:rPr>
        <w:t xml:space="preserve">Panagrinėjus situaciją Klaipėdos regione, matyti, kad gyventojų skaičius </w:t>
      </w:r>
      <w:r w:rsidR="004238D9">
        <w:rPr>
          <w:bCs/>
        </w:rPr>
        <w:t>su</w:t>
      </w:r>
      <w:r>
        <w:rPr>
          <w:bCs/>
        </w:rPr>
        <w:t>mažėj</w:t>
      </w:r>
      <w:r w:rsidR="004238D9">
        <w:rPr>
          <w:bCs/>
        </w:rPr>
        <w:t xml:space="preserve">o </w:t>
      </w:r>
      <w:r>
        <w:rPr>
          <w:bCs/>
        </w:rPr>
        <w:t>visose savivaldybėse, išskyrus Klaipėdos rajono bei Neringos savivaldybes (žr. 5 diagramą).</w:t>
      </w:r>
    </w:p>
    <w:p w:rsidR="00C558DC" w:rsidRDefault="00C558DC" w:rsidP="00541C8E">
      <w:pPr>
        <w:ind w:firstLine="720"/>
        <w:jc w:val="both"/>
        <w:rPr>
          <w:bCs/>
        </w:rPr>
      </w:pPr>
      <w:r>
        <w:rPr>
          <w:noProof/>
          <w:lang w:eastAsia="lt-LT"/>
        </w:rPr>
        <w:drawing>
          <wp:inline distT="0" distB="0" distL="0" distR="0" wp14:anchorId="1CE7EEC5" wp14:editId="3E855554">
            <wp:extent cx="5829300" cy="2447925"/>
            <wp:effectExtent l="0" t="0" r="1905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58DC" w:rsidRPr="00875408" w:rsidRDefault="00C558DC" w:rsidP="00C558DC">
      <w:pPr>
        <w:jc w:val="center"/>
        <w:rPr>
          <w:b/>
          <w:bCs/>
          <w:sz w:val="20"/>
          <w:szCs w:val="20"/>
        </w:rPr>
      </w:pPr>
      <w:r>
        <w:rPr>
          <w:b/>
          <w:bCs/>
          <w:sz w:val="20"/>
          <w:szCs w:val="20"/>
        </w:rPr>
        <w:t>5</w:t>
      </w:r>
      <w:r w:rsidRPr="00875408">
        <w:rPr>
          <w:b/>
          <w:bCs/>
          <w:sz w:val="20"/>
          <w:szCs w:val="20"/>
        </w:rPr>
        <w:t xml:space="preserve"> diagrama. Gyventojų skaičiaus pokytis </w:t>
      </w:r>
      <w:r>
        <w:rPr>
          <w:b/>
          <w:bCs/>
          <w:sz w:val="20"/>
          <w:szCs w:val="20"/>
        </w:rPr>
        <w:t xml:space="preserve">Klaipėdos regiono savivaldybėse </w:t>
      </w:r>
      <w:r w:rsidRPr="00875408">
        <w:rPr>
          <w:b/>
          <w:bCs/>
          <w:sz w:val="20"/>
          <w:szCs w:val="20"/>
        </w:rPr>
        <w:t>(lyginant 2013 m. su 2012 m.), proc.</w:t>
      </w:r>
    </w:p>
    <w:p w:rsidR="00C558DC" w:rsidRPr="00875408" w:rsidRDefault="00C558DC" w:rsidP="00C558DC">
      <w:pPr>
        <w:ind w:firstLine="720"/>
        <w:jc w:val="center"/>
        <w:rPr>
          <w:b/>
          <w:bCs/>
          <w:sz w:val="20"/>
          <w:szCs w:val="20"/>
        </w:rPr>
      </w:pPr>
      <w:r w:rsidRPr="00875408">
        <w:rPr>
          <w:b/>
          <w:bCs/>
          <w:sz w:val="20"/>
          <w:szCs w:val="20"/>
        </w:rPr>
        <w:t>Duomenų šaltinis – Statistikos departamentas prie Lietuvos Respublikos Vyriausybės</w:t>
      </w:r>
    </w:p>
    <w:p w:rsidR="00C558DC" w:rsidRDefault="00C558DC" w:rsidP="00541C8E">
      <w:pPr>
        <w:ind w:firstLine="720"/>
        <w:jc w:val="both"/>
        <w:rPr>
          <w:bCs/>
        </w:rPr>
      </w:pPr>
    </w:p>
    <w:p w:rsidR="004238D9" w:rsidRDefault="004238D9" w:rsidP="000D7670">
      <w:pPr>
        <w:ind w:firstLine="720"/>
        <w:jc w:val="both"/>
        <w:rPr>
          <w:bCs/>
        </w:rPr>
      </w:pPr>
      <w:r>
        <w:rPr>
          <w:bCs/>
        </w:rPr>
        <w:t>Gyventojų skaičiaus mažėjimą lemia migracija bei neigiama natūrali gyventojų kaita. 2013 m. neto migracija</w:t>
      </w:r>
      <w:r w:rsidR="000D7670">
        <w:rPr>
          <w:bCs/>
        </w:rPr>
        <w:t xml:space="preserve"> (tarptautinė ir vidinė)</w:t>
      </w:r>
      <w:r>
        <w:rPr>
          <w:bCs/>
        </w:rPr>
        <w:t xml:space="preserve"> buvo – 953, natūralus gyventojų prieaugis 1000 gyventojų 2012 m. </w:t>
      </w:r>
      <w:r w:rsidR="00B547A3">
        <w:rPr>
          <w:bCs/>
        </w:rPr>
        <w:t xml:space="preserve">(2013 m. duomenų dar nėra) </w:t>
      </w:r>
      <w:r>
        <w:rPr>
          <w:bCs/>
        </w:rPr>
        <w:t xml:space="preserve">sudarė -1.  </w:t>
      </w:r>
    </w:p>
    <w:p w:rsidR="00541C8E" w:rsidRDefault="000D7670" w:rsidP="00541C8E">
      <w:pPr>
        <w:ind w:firstLine="720"/>
        <w:jc w:val="both"/>
        <w:rPr>
          <w:bCs/>
        </w:rPr>
      </w:pPr>
      <w:r>
        <w:rPr>
          <w:bCs/>
        </w:rPr>
        <w:t>Dėl aukščiau išvardintų priežasčių, v</w:t>
      </w:r>
      <w:r w:rsidR="00541C8E">
        <w:rPr>
          <w:bCs/>
        </w:rPr>
        <w:t>idutinės tikėtinos gyvenimo trukmės rodiklis yra prastesnis, nei tikėtasi – 77,46 m. (2012 m. – 79,63 m.)</w:t>
      </w:r>
      <w:r w:rsidR="00A2608A">
        <w:rPr>
          <w:bCs/>
        </w:rPr>
        <w:t>.</w:t>
      </w:r>
    </w:p>
    <w:p w:rsidR="00541C8E" w:rsidRPr="00A2608A" w:rsidRDefault="00541C8E" w:rsidP="0027335B">
      <w:pPr>
        <w:ind w:firstLine="720"/>
        <w:jc w:val="both"/>
        <w:rPr>
          <w:b/>
          <w:bCs/>
        </w:rPr>
      </w:pPr>
    </w:p>
    <w:p w:rsidR="00920CA8" w:rsidRDefault="00A2608A" w:rsidP="0027335B">
      <w:pPr>
        <w:ind w:firstLine="720"/>
        <w:jc w:val="both"/>
        <w:rPr>
          <w:bCs/>
        </w:rPr>
      </w:pPr>
      <w:r w:rsidRPr="00A2608A">
        <w:rPr>
          <w:b/>
          <w:bCs/>
        </w:rPr>
        <w:t>2) Tikslų ir uždavinių rodiklių</w:t>
      </w:r>
      <w:r>
        <w:rPr>
          <w:bCs/>
        </w:rPr>
        <w:t xml:space="preserve"> reikšmės yra pateikiamos sprendimo projekto 1 priede. </w:t>
      </w:r>
      <w:r w:rsidR="002A4B9D">
        <w:t xml:space="preserve">Kadangi Klaipėdos miesto savivaldybės 2013-2020 m. planas patvirtintas tik 2013 m. II ketvirtyje, dėl to daugumoje sričių rodiklių reikšmės dar nėra pasiekusios planuotų tendencijų. Situacija geresnė tose srityse, kur vykdomos tęstinės priemonės. </w:t>
      </w:r>
    </w:p>
    <w:p w:rsidR="00A2608A" w:rsidRDefault="00A2608A" w:rsidP="0027335B">
      <w:pPr>
        <w:ind w:firstLine="720"/>
        <w:jc w:val="both"/>
        <w:rPr>
          <w:bCs/>
        </w:rPr>
      </w:pPr>
    </w:p>
    <w:p w:rsidR="002A4B9D" w:rsidRDefault="002A4B9D" w:rsidP="0027335B">
      <w:pPr>
        <w:ind w:firstLine="720"/>
        <w:jc w:val="both"/>
        <w:rPr>
          <w:bCs/>
        </w:rPr>
      </w:pPr>
    </w:p>
    <w:p w:rsidR="002A4B9D" w:rsidRDefault="002A4B9D" w:rsidP="0027335B">
      <w:pPr>
        <w:ind w:firstLine="720"/>
        <w:jc w:val="both"/>
        <w:rPr>
          <w:bCs/>
        </w:rPr>
      </w:pPr>
    </w:p>
    <w:p w:rsidR="002A4B9D" w:rsidRDefault="002A4B9D" w:rsidP="0027335B">
      <w:pPr>
        <w:ind w:firstLine="720"/>
        <w:jc w:val="both"/>
        <w:rPr>
          <w:bCs/>
        </w:rPr>
      </w:pPr>
    </w:p>
    <w:p w:rsidR="002A4B9D" w:rsidRDefault="002A4B9D" w:rsidP="0027335B">
      <w:pPr>
        <w:ind w:firstLine="720"/>
        <w:jc w:val="both"/>
        <w:rPr>
          <w:bCs/>
        </w:rPr>
      </w:pPr>
    </w:p>
    <w:p w:rsidR="002A4B9D" w:rsidRDefault="002A4B9D" w:rsidP="0027335B">
      <w:pPr>
        <w:ind w:firstLine="720"/>
        <w:jc w:val="both"/>
        <w:rPr>
          <w:bCs/>
        </w:rPr>
      </w:pPr>
    </w:p>
    <w:p w:rsidR="00A2608A" w:rsidRPr="00A2608A" w:rsidRDefault="00A2608A" w:rsidP="0027335B">
      <w:pPr>
        <w:ind w:firstLine="720"/>
        <w:jc w:val="both"/>
        <w:rPr>
          <w:b/>
          <w:bCs/>
        </w:rPr>
      </w:pPr>
      <w:r w:rsidRPr="00A2608A">
        <w:rPr>
          <w:b/>
          <w:bCs/>
        </w:rPr>
        <w:lastRenderedPageBreak/>
        <w:t>3) Priemonių rodikliai</w:t>
      </w:r>
      <w:r>
        <w:rPr>
          <w:b/>
          <w:bCs/>
        </w:rPr>
        <w:t xml:space="preserve">. </w:t>
      </w:r>
    </w:p>
    <w:p w:rsidR="00F94F16" w:rsidRPr="00A44189" w:rsidRDefault="00F94F16" w:rsidP="002A4B9D">
      <w:pPr>
        <w:jc w:val="both"/>
        <w:rPr>
          <w:sz w:val="8"/>
          <w:szCs w:val="8"/>
        </w:rPr>
      </w:pPr>
    </w:p>
    <w:p w:rsidR="00F94F16" w:rsidRPr="000C335A" w:rsidRDefault="00F90728" w:rsidP="00085947">
      <w:pPr>
        <w:ind w:firstLine="720"/>
        <w:jc w:val="both"/>
      </w:pPr>
      <w:r>
        <w:t>Lentelėje p</w:t>
      </w:r>
      <w:r w:rsidR="00F94F16" w:rsidRPr="000C335A">
        <w:t>ateikiamas 20</w:t>
      </w:r>
      <w:r w:rsidR="004C3370">
        <w:t>1</w:t>
      </w:r>
      <w:r w:rsidR="002B72A9">
        <w:t>3</w:t>
      </w:r>
      <w:r w:rsidR="00F94F16" w:rsidRPr="000C335A">
        <w:t xml:space="preserve"> m. KSP </w:t>
      </w:r>
      <w:r w:rsidR="000572F9">
        <w:t xml:space="preserve">prioritetų </w:t>
      </w:r>
      <w:r w:rsidR="00892152">
        <w:t>įgyvendini</w:t>
      </w:r>
      <w:r w:rsidR="00A2608A">
        <w:t>mo lygis pagal vertinamų priemonių skaičių</w:t>
      </w:r>
      <w:r w:rsidR="000572F9">
        <w:t>:</w:t>
      </w:r>
    </w:p>
    <w:p w:rsidR="00F94F16" w:rsidRPr="000C335A" w:rsidRDefault="00F94F16" w:rsidP="00085947">
      <w:pPr>
        <w:ind w:firstLine="720"/>
        <w:jc w:val="both"/>
        <w:rPr>
          <w:sz w:val="8"/>
          <w:szCs w:val="8"/>
        </w:rPr>
      </w:pPr>
    </w:p>
    <w:tbl>
      <w:tblPr>
        <w:tblW w:w="70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865"/>
        <w:gridCol w:w="955"/>
        <w:gridCol w:w="888"/>
        <w:gridCol w:w="1042"/>
        <w:gridCol w:w="658"/>
      </w:tblGrid>
      <w:tr w:rsidR="002B72A9" w:rsidRPr="008B117C" w:rsidTr="002B72A9">
        <w:tc>
          <w:tcPr>
            <w:tcW w:w="2598" w:type="dxa"/>
          </w:tcPr>
          <w:p w:rsidR="002B72A9" w:rsidRPr="008B117C" w:rsidRDefault="002B72A9" w:rsidP="002D1B06">
            <w:pPr>
              <w:jc w:val="center"/>
              <w:rPr>
                <w:b/>
              </w:rPr>
            </w:pPr>
            <w:r w:rsidRPr="008B117C">
              <w:rPr>
                <w:b/>
              </w:rPr>
              <w:t>Prioritetai</w:t>
            </w:r>
          </w:p>
        </w:tc>
        <w:tc>
          <w:tcPr>
            <w:tcW w:w="865" w:type="dxa"/>
          </w:tcPr>
          <w:p w:rsidR="002B72A9" w:rsidRPr="008B117C" w:rsidRDefault="002B72A9" w:rsidP="002D1B06">
            <w:pPr>
              <w:jc w:val="center"/>
              <w:rPr>
                <w:b/>
              </w:rPr>
            </w:pPr>
            <w:r w:rsidRPr="008B117C">
              <w:rPr>
                <w:b/>
              </w:rPr>
              <w:t xml:space="preserve">I </w:t>
            </w:r>
          </w:p>
        </w:tc>
        <w:tc>
          <w:tcPr>
            <w:tcW w:w="955" w:type="dxa"/>
          </w:tcPr>
          <w:p w:rsidR="002B72A9" w:rsidRPr="008B117C" w:rsidRDefault="002B72A9" w:rsidP="002D1B06">
            <w:pPr>
              <w:jc w:val="center"/>
              <w:rPr>
                <w:b/>
              </w:rPr>
            </w:pPr>
            <w:r w:rsidRPr="008B117C">
              <w:rPr>
                <w:b/>
              </w:rPr>
              <w:t xml:space="preserve">II </w:t>
            </w:r>
          </w:p>
        </w:tc>
        <w:tc>
          <w:tcPr>
            <w:tcW w:w="888" w:type="dxa"/>
          </w:tcPr>
          <w:p w:rsidR="002B72A9" w:rsidRPr="008B117C" w:rsidRDefault="002B72A9" w:rsidP="002D1B06">
            <w:pPr>
              <w:jc w:val="center"/>
              <w:rPr>
                <w:b/>
              </w:rPr>
            </w:pPr>
            <w:r w:rsidRPr="008B117C">
              <w:rPr>
                <w:b/>
              </w:rPr>
              <w:t xml:space="preserve">III </w:t>
            </w:r>
          </w:p>
        </w:tc>
        <w:tc>
          <w:tcPr>
            <w:tcW w:w="1042" w:type="dxa"/>
          </w:tcPr>
          <w:p w:rsidR="002B72A9" w:rsidRPr="00BC7515" w:rsidRDefault="002B72A9" w:rsidP="002D1B06">
            <w:pPr>
              <w:jc w:val="center"/>
              <w:rPr>
                <w:b/>
              </w:rPr>
            </w:pPr>
            <w:r w:rsidRPr="00BC7515">
              <w:rPr>
                <w:b/>
              </w:rPr>
              <w:t>Iš viso</w:t>
            </w:r>
          </w:p>
        </w:tc>
        <w:tc>
          <w:tcPr>
            <w:tcW w:w="658" w:type="dxa"/>
          </w:tcPr>
          <w:p w:rsidR="002B72A9" w:rsidRPr="002115A7" w:rsidRDefault="002B72A9" w:rsidP="002D1B06">
            <w:pPr>
              <w:jc w:val="center"/>
              <w:rPr>
                <w:b/>
                <w:i/>
                <w:lang w:val="en-US"/>
              </w:rPr>
            </w:pPr>
            <w:r>
              <w:rPr>
                <w:b/>
                <w:i/>
                <w:lang w:val="en-US"/>
              </w:rPr>
              <w:t>%</w:t>
            </w:r>
          </w:p>
        </w:tc>
      </w:tr>
      <w:tr w:rsidR="002B72A9" w:rsidRPr="008B117C" w:rsidTr="002B72A9">
        <w:tc>
          <w:tcPr>
            <w:tcW w:w="2598" w:type="dxa"/>
            <w:tcBorders>
              <w:bottom w:val="single" w:sz="4" w:space="0" w:color="auto"/>
            </w:tcBorders>
          </w:tcPr>
          <w:p w:rsidR="002B72A9" w:rsidRPr="008B117C" w:rsidRDefault="002B72A9" w:rsidP="00A2608A">
            <w:pPr>
              <w:jc w:val="center"/>
              <w:rPr>
                <w:b/>
              </w:rPr>
            </w:pPr>
            <w:r w:rsidRPr="008B117C">
              <w:rPr>
                <w:b/>
              </w:rPr>
              <w:t>Suplanuot</w:t>
            </w:r>
            <w:r w:rsidR="00A2608A">
              <w:rPr>
                <w:b/>
              </w:rPr>
              <w:t>os priemonės 2013 m.</w:t>
            </w:r>
          </w:p>
        </w:tc>
        <w:tc>
          <w:tcPr>
            <w:tcW w:w="865" w:type="dxa"/>
            <w:tcBorders>
              <w:bottom w:val="single" w:sz="4" w:space="0" w:color="auto"/>
            </w:tcBorders>
          </w:tcPr>
          <w:p w:rsidR="002B72A9" w:rsidRPr="008B117C" w:rsidRDefault="002B72A9" w:rsidP="00720F49">
            <w:pPr>
              <w:jc w:val="center"/>
              <w:rPr>
                <w:b/>
              </w:rPr>
            </w:pPr>
            <w:r>
              <w:rPr>
                <w:b/>
              </w:rPr>
              <w:t>95</w:t>
            </w:r>
          </w:p>
        </w:tc>
        <w:tc>
          <w:tcPr>
            <w:tcW w:w="955" w:type="dxa"/>
            <w:tcBorders>
              <w:bottom w:val="single" w:sz="4" w:space="0" w:color="auto"/>
            </w:tcBorders>
          </w:tcPr>
          <w:p w:rsidR="002B72A9" w:rsidRPr="008B117C" w:rsidRDefault="002B72A9" w:rsidP="002B72A9">
            <w:pPr>
              <w:jc w:val="center"/>
              <w:rPr>
                <w:b/>
              </w:rPr>
            </w:pPr>
            <w:r>
              <w:rPr>
                <w:b/>
              </w:rPr>
              <w:t>73</w:t>
            </w:r>
          </w:p>
        </w:tc>
        <w:tc>
          <w:tcPr>
            <w:tcW w:w="888" w:type="dxa"/>
            <w:tcBorders>
              <w:bottom w:val="single" w:sz="4" w:space="0" w:color="auto"/>
            </w:tcBorders>
          </w:tcPr>
          <w:p w:rsidR="002B72A9" w:rsidRPr="008B117C" w:rsidRDefault="002B72A9" w:rsidP="000E53B4">
            <w:pPr>
              <w:jc w:val="center"/>
              <w:rPr>
                <w:b/>
              </w:rPr>
            </w:pPr>
            <w:r>
              <w:rPr>
                <w:b/>
              </w:rPr>
              <w:t>63</w:t>
            </w:r>
          </w:p>
        </w:tc>
        <w:tc>
          <w:tcPr>
            <w:tcW w:w="1042" w:type="dxa"/>
            <w:tcBorders>
              <w:bottom w:val="single" w:sz="4" w:space="0" w:color="auto"/>
            </w:tcBorders>
          </w:tcPr>
          <w:p w:rsidR="002B72A9" w:rsidRPr="002B72A9" w:rsidRDefault="002B72A9" w:rsidP="000E53B4">
            <w:pPr>
              <w:jc w:val="center"/>
              <w:rPr>
                <w:b/>
                <w:lang w:val="ru-RU"/>
              </w:rPr>
            </w:pPr>
            <w:r>
              <w:rPr>
                <w:b/>
                <w:lang w:val="ru-RU"/>
              </w:rPr>
              <w:t>231</w:t>
            </w:r>
          </w:p>
        </w:tc>
        <w:tc>
          <w:tcPr>
            <w:tcW w:w="658" w:type="dxa"/>
            <w:tcBorders>
              <w:bottom w:val="single" w:sz="4" w:space="0" w:color="auto"/>
            </w:tcBorders>
          </w:tcPr>
          <w:p w:rsidR="002B72A9" w:rsidRDefault="002B72A9" w:rsidP="002D1B06">
            <w:pPr>
              <w:jc w:val="center"/>
              <w:rPr>
                <w:b/>
              </w:rPr>
            </w:pPr>
            <w:r>
              <w:rPr>
                <w:b/>
              </w:rPr>
              <w:t>100</w:t>
            </w:r>
          </w:p>
        </w:tc>
      </w:tr>
      <w:tr w:rsidR="002B72A9" w:rsidRPr="008B117C" w:rsidTr="002B72A9">
        <w:tc>
          <w:tcPr>
            <w:tcW w:w="2598" w:type="dxa"/>
            <w:shd w:val="clear" w:color="auto" w:fill="CCFFCC"/>
          </w:tcPr>
          <w:p w:rsidR="002B72A9" w:rsidRPr="000572F9" w:rsidRDefault="002B72A9" w:rsidP="00A2608A">
            <w:pPr>
              <w:jc w:val="both"/>
              <w:rPr>
                <w:i/>
                <w:lang w:val="en-US"/>
              </w:rPr>
            </w:pPr>
            <w:r>
              <w:t xml:space="preserve">Įgyvendinta </w:t>
            </w:r>
            <w:r w:rsidR="00A2608A">
              <w:t>priemonių</w:t>
            </w:r>
          </w:p>
        </w:tc>
        <w:tc>
          <w:tcPr>
            <w:tcW w:w="865" w:type="dxa"/>
            <w:shd w:val="clear" w:color="auto" w:fill="CCFFCC"/>
          </w:tcPr>
          <w:p w:rsidR="002B72A9" w:rsidRPr="00275F7F" w:rsidRDefault="00275F7F" w:rsidP="002D1B06">
            <w:pPr>
              <w:jc w:val="center"/>
            </w:pPr>
            <w:r>
              <w:t>1</w:t>
            </w:r>
          </w:p>
        </w:tc>
        <w:tc>
          <w:tcPr>
            <w:tcW w:w="955" w:type="dxa"/>
            <w:shd w:val="clear" w:color="auto" w:fill="CCFFCC"/>
          </w:tcPr>
          <w:p w:rsidR="002B72A9" w:rsidRPr="00CA1608" w:rsidRDefault="00CA1608" w:rsidP="002D1B06">
            <w:pPr>
              <w:jc w:val="center"/>
            </w:pPr>
            <w:r>
              <w:t>1</w:t>
            </w:r>
          </w:p>
        </w:tc>
        <w:tc>
          <w:tcPr>
            <w:tcW w:w="888" w:type="dxa"/>
            <w:shd w:val="clear" w:color="auto" w:fill="CCFFCC"/>
          </w:tcPr>
          <w:p w:rsidR="002B72A9" w:rsidRPr="00275F7F" w:rsidRDefault="002B72A9" w:rsidP="002D1B06">
            <w:pPr>
              <w:jc w:val="center"/>
              <w:rPr>
                <w:lang w:val="ru-RU"/>
              </w:rPr>
            </w:pPr>
            <w:r w:rsidRPr="00275F7F">
              <w:rPr>
                <w:lang w:val="ru-RU"/>
              </w:rPr>
              <w:t>1</w:t>
            </w:r>
          </w:p>
        </w:tc>
        <w:tc>
          <w:tcPr>
            <w:tcW w:w="1042" w:type="dxa"/>
            <w:shd w:val="clear" w:color="auto" w:fill="CCFFCC"/>
          </w:tcPr>
          <w:p w:rsidR="002B72A9" w:rsidRPr="00275F7F" w:rsidRDefault="001670F7" w:rsidP="000E53B4">
            <w:pPr>
              <w:jc w:val="center"/>
              <w:rPr>
                <w:b/>
              </w:rPr>
            </w:pPr>
            <w:r>
              <w:rPr>
                <w:b/>
              </w:rPr>
              <w:t>3</w:t>
            </w:r>
          </w:p>
        </w:tc>
        <w:tc>
          <w:tcPr>
            <w:tcW w:w="658" w:type="dxa"/>
            <w:shd w:val="clear" w:color="auto" w:fill="CCFFCC"/>
          </w:tcPr>
          <w:p w:rsidR="002B72A9" w:rsidRPr="00082947" w:rsidRDefault="00961936" w:rsidP="000E53B4">
            <w:pPr>
              <w:jc w:val="center"/>
              <w:rPr>
                <w:b/>
              </w:rPr>
            </w:pPr>
            <w:r>
              <w:rPr>
                <w:b/>
              </w:rPr>
              <w:t>2</w:t>
            </w:r>
          </w:p>
        </w:tc>
      </w:tr>
      <w:tr w:rsidR="002B72A9" w:rsidRPr="008B117C" w:rsidTr="002B72A9">
        <w:trPr>
          <w:trHeight w:val="297"/>
        </w:trPr>
        <w:tc>
          <w:tcPr>
            <w:tcW w:w="2598" w:type="dxa"/>
            <w:tcBorders>
              <w:bottom w:val="single" w:sz="4" w:space="0" w:color="auto"/>
            </w:tcBorders>
          </w:tcPr>
          <w:p w:rsidR="002B72A9" w:rsidRDefault="002B72A9" w:rsidP="00A2608A">
            <w:pPr>
              <w:jc w:val="both"/>
            </w:pPr>
            <w:r>
              <w:t xml:space="preserve">Vykdoma </w:t>
            </w:r>
            <w:r w:rsidR="00A2608A">
              <w:t>priemonių</w:t>
            </w:r>
          </w:p>
        </w:tc>
        <w:tc>
          <w:tcPr>
            <w:tcW w:w="865" w:type="dxa"/>
            <w:tcBorders>
              <w:bottom w:val="single" w:sz="4" w:space="0" w:color="auto"/>
            </w:tcBorders>
          </w:tcPr>
          <w:p w:rsidR="002B72A9" w:rsidRPr="00AD33C0" w:rsidRDefault="002B72A9" w:rsidP="002D1B06">
            <w:pPr>
              <w:jc w:val="center"/>
            </w:pPr>
            <w:r>
              <w:rPr>
                <w:lang w:val="ru-RU"/>
              </w:rPr>
              <w:t>7</w:t>
            </w:r>
            <w:r w:rsidR="001A7A90">
              <w:t>1</w:t>
            </w:r>
          </w:p>
        </w:tc>
        <w:tc>
          <w:tcPr>
            <w:tcW w:w="955" w:type="dxa"/>
            <w:tcBorders>
              <w:bottom w:val="single" w:sz="4" w:space="0" w:color="auto"/>
            </w:tcBorders>
          </w:tcPr>
          <w:p w:rsidR="002B72A9" w:rsidRPr="00CA1608" w:rsidRDefault="00CA1608" w:rsidP="00540BCE">
            <w:pPr>
              <w:jc w:val="center"/>
            </w:pPr>
            <w:r>
              <w:t>6</w:t>
            </w:r>
            <w:r w:rsidR="00540BCE">
              <w:t>3</w:t>
            </w:r>
          </w:p>
        </w:tc>
        <w:tc>
          <w:tcPr>
            <w:tcW w:w="888" w:type="dxa"/>
            <w:tcBorders>
              <w:bottom w:val="single" w:sz="4" w:space="0" w:color="auto"/>
            </w:tcBorders>
          </w:tcPr>
          <w:p w:rsidR="002B72A9" w:rsidRPr="004F5F82" w:rsidRDefault="002B72A9" w:rsidP="00320DAB">
            <w:pPr>
              <w:jc w:val="center"/>
            </w:pPr>
            <w:r>
              <w:rPr>
                <w:lang w:val="ru-RU"/>
              </w:rPr>
              <w:t>4</w:t>
            </w:r>
            <w:r w:rsidR="001A7A90">
              <w:t>3</w:t>
            </w:r>
          </w:p>
        </w:tc>
        <w:tc>
          <w:tcPr>
            <w:tcW w:w="1042" w:type="dxa"/>
            <w:tcBorders>
              <w:bottom w:val="single" w:sz="4" w:space="0" w:color="auto"/>
            </w:tcBorders>
          </w:tcPr>
          <w:p w:rsidR="002B72A9" w:rsidRPr="00AD33C0" w:rsidRDefault="00961936" w:rsidP="005A08E7">
            <w:pPr>
              <w:jc w:val="center"/>
              <w:rPr>
                <w:b/>
              </w:rPr>
            </w:pPr>
            <w:r>
              <w:rPr>
                <w:b/>
              </w:rPr>
              <w:t>17</w:t>
            </w:r>
            <w:r w:rsidR="001A7A90">
              <w:rPr>
                <w:b/>
              </w:rPr>
              <w:t>7</w:t>
            </w:r>
          </w:p>
        </w:tc>
        <w:tc>
          <w:tcPr>
            <w:tcW w:w="658" w:type="dxa"/>
            <w:tcBorders>
              <w:bottom w:val="single" w:sz="4" w:space="0" w:color="auto"/>
            </w:tcBorders>
          </w:tcPr>
          <w:p w:rsidR="002B72A9" w:rsidRPr="004F5F82" w:rsidRDefault="00961936" w:rsidP="00AD33C0">
            <w:pPr>
              <w:jc w:val="center"/>
              <w:rPr>
                <w:b/>
              </w:rPr>
            </w:pPr>
            <w:r>
              <w:rPr>
                <w:b/>
              </w:rPr>
              <w:t>77</w:t>
            </w:r>
          </w:p>
        </w:tc>
      </w:tr>
      <w:tr w:rsidR="002B72A9" w:rsidRPr="008B117C" w:rsidTr="002B72A9">
        <w:tc>
          <w:tcPr>
            <w:tcW w:w="2598" w:type="dxa"/>
            <w:tcBorders>
              <w:bottom w:val="single" w:sz="4" w:space="0" w:color="auto"/>
            </w:tcBorders>
            <w:shd w:val="clear" w:color="auto" w:fill="FF99CC"/>
          </w:tcPr>
          <w:p w:rsidR="002B72A9" w:rsidRDefault="002B72A9" w:rsidP="00A2608A">
            <w:pPr>
              <w:jc w:val="both"/>
            </w:pPr>
            <w:r>
              <w:t xml:space="preserve">Nevykdoma </w:t>
            </w:r>
            <w:r w:rsidR="00A2608A">
              <w:t>priemonių</w:t>
            </w:r>
          </w:p>
        </w:tc>
        <w:tc>
          <w:tcPr>
            <w:tcW w:w="865" w:type="dxa"/>
            <w:tcBorders>
              <w:bottom w:val="single" w:sz="4" w:space="0" w:color="auto"/>
            </w:tcBorders>
            <w:shd w:val="clear" w:color="auto" w:fill="FF99CC"/>
          </w:tcPr>
          <w:p w:rsidR="002B72A9" w:rsidRPr="00057F4A" w:rsidRDefault="00961936" w:rsidP="002D1B06">
            <w:pPr>
              <w:jc w:val="center"/>
            </w:pPr>
            <w:r>
              <w:t>2</w:t>
            </w:r>
            <w:r w:rsidR="000D66F6">
              <w:t>3</w:t>
            </w:r>
          </w:p>
        </w:tc>
        <w:tc>
          <w:tcPr>
            <w:tcW w:w="955" w:type="dxa"/>
            <w:tcBorders>
              <w:bottom w:val="single" w:sz="4" w:space="0" w:color="auto"/>
            </w:tcBorders>
            <w:shd w:val="clear" w:color="auto" w:fill="FF99CC"/>
          </w:tcPr>
          <w:p w:rsidR="002B72A9" w:rsidRPr="00CA1608" w:rsidRDefault="00540BCE" w:rsidP="00CA1608">
            <w:pPr>
              <w:jc w:val="center"/>
            </w:pPr>
            <w:r>
              <w:t>9</w:t>
            </w:r>
          </w:p>
        </w:tc>
        <w:tc>
          <w:tcPr>
            <w:tcW w:w="888" w:type="dxa"/>
            <w:tcBorders>
              <w:bottom w:val="single" w:sz="4" w:space="0" w:color="auto"/>
            </w:tcBorders>
            <w:shd w:val="clear" w:color="auto" w:fill="FF99CC"/>
          </w:tcPr>
          <w:p w:rsidR="002B72A9" w:rsidRPr="004F5F82" w:rsidRDefault="004F5F82" w:rsidP="00320DAB">
            <w:pPr>
              <w:jc w:val="center"/>
            </w:pPr>
            <w:r>
              <w:t>1</w:t>
            </w:r>
            <w:r w:rsidR="001A7A90">
              <w:t>9</w:t>
            </w:r>
          </w:p>
        </w:tc>
        <w:tc>
          <w:tcPr>
            <w:tcW w:w="1042" w:type="dxa"/>
            <w:tcBorders>
              <w:bottom w:val="single" w:sz="4" w:space="0" w:color="auto"/>
            </w:tcBorders>
            <w:shd w:val="clear" w:color="auto" w:fill="FF99CC"/>
          </w:tcPr>
          <w:p w:rsidR="002B72A9" w:rsidRPr="00AD33C0" w:rsidRDefault="001A7A90" w:rsidP="005A08E7">
            <w:pPr>
              <w:jc w:val="center"/>
              <w:rPr>
                <w:b/>
              </w:rPr>
            </w:pPr>
            <w:r>
              <w:rPr>
                <w:b/>
              </w:rPr>
              <w:t>51</w:t>
            </w:r>
          </w:p>
        </w:tc>
        <w:tc>
          <w:tcPr>
            <w:tcW w:w="658" w:type="dxa"/>
            <w:tcBorders>
              <w:bottom w:val="single" w:sz="4" w:space="0" w:color="auto"/>
            </w:tcBorders>
            <w:shd w:val="clear" w:color="auto" w:fill="FF99CC"/>
          </w:tcPr>
          <w:p w:rsidR="002B72A9" w:rsidRPr="00AD33C0" w:rsidRDefault="00961936" w:rsidP="00892152">
            <w:pPr>
              <w:jc w:val="center"/>
              <w:rPr>
                <w:b/>
              </w:rPr>
            </w:pPr>
            <w:r>
              <w:rPr>
                <w:b/>
              </w:rPr>
              <w:t>2</w:t>
            </w:r>
            <w:r w:rsidR="001A7A90">
              <w:rPr>
                <w:b/>
              </w:rPr>
              <w:t>2</w:t>
            </w:r>
          </w:p>
        </w:tc>
      </w:tr>
    </w:tbl>
    <w:p w:rsidR="004F627B" w:rsidRDefault="004F627B" w:rsidP="00085947">
      <w:pPr>
        <w:ind w:firstLine="720"/>
        <w:jc w:val="both"/>
      </w:pPr>
    </w:p>
    <w:p w:rsidR="008A44B5" w:rsidRDefault="008A44B5" w:rsidP="00085947">
      <w:pPr>
        <w:ind w:firstLine="720"/>
        <w:jc w:val="both"/>
      </w:pPr>
      <w:r w:rsidRPr="00961936">
        <w:t xml:space="preserve">Iš viso </w:t>
      </w:r>
      <w:r w:rsidR="00E248EF" w:rsidRPr="00961936">
        <w:t>201</w:t>
      </w:r>
      <w:r w:rsidR="009D3CE4" w:rsidRPr="00961936">
        <w:t>3</w:t>
      </w:r>
      <w:r w:rsidRPr="00961936">
        <w:t xml:space="preserve"> m. pagal KSP suplanuot</w:t>
      </w:r>
      <w:r w:rsidR="00A2608A">
        <w:t xml:space="preserve">us </w:t>
      </w:r>
      <w:r w:rsidR="00961936" w:rsidRPr="00961936">
        <w:t>terminus buvo įgyvendint</w:t>
      </w:r>
      <w:r w:rsidR="00A2608A">
        <w:t>a</w:t>
      </w:r>
      <w:r w:rsidRPr="00961936">
        <w:t xml:space="preserve"> </w:t>
      </w:r>
      <w:r w:rsidR="00961936" w:rsidRPr="00961936">
        <w:t>2</w:t>
      </w:r>
      <w:r w:rsidRPr="00961936">
        <w:t xml:space="preserve"> %, vykdom</w:t>
      </w:r>
      <w:r w:rsidR="00A2608A">
        <w:t>a</w:t>
      </w:r>
      <w:r w:rsidRPr="00961936">
        <w:t xml:space="preserve"> </w:t>
      </w:r>
      <w:r w:rsidR="00961936" w:rsidRPr="00961936">
        <w:t>77</w:t>
      </w:r>
      <w:r w:rsidRPr="00961936">
        <w:t xml:space="preserve"> %, nevykdom</w:t>
      </w:r>
      <w:r w:rsidR="00961936">
        <w:t>a</w:t>
      </w:r>
      <w:r w:rsidR="00A2608A">
        <w:t xml:space="preserve"> </w:t>
      </w:r>
      <w:r w:rsidRPr="00961936">
        <w:t xml:space="preserve"> </w:t>
      </w:r>
      <w:r w:rsidR="00961936" w:rsidRPr="00961936">
        <w:t>2</w:t>
      </w:r>
      <w:r w:rsidR="001A7A90">
        <w:t>2</w:t>
      </w:r>
      <w:r w:rsidRPr="00961936">
        <w:t xml:space="preserve"> % KSP</w:t>
      </w:r>
      <w:r w:rsidR="00E248EF" w:rsidRPr="00961936">
        <w:t xml:space="preserve"> </w:t>
      </w:r>
      <w:r w:rsidR="00A2608A">
        <w:t>priemonių</w:t>
      </w:r>
      <w:r w:rsidR="00E248EF" w:rsidRPr="00961936">
        <w:t xml:space="preserve"> (</w:t>
      </w:r>
      <w:r w:rsidRPr="00961936">
        <w:t xml:space="preserve">žr. </w:t>
      </w:r>
      <w:r w:rsidR="00A2608A">
        <w:t>6</w:t>
      </w:r>
      <w:r w:rsidRPr="00961936">
        <w:t xml:space="preserve"> diagramą).</w:t>
      </w:r>
      <w:r w:rsidRPr="008A4BAA">
        <w:t xml:space="preserve"> </w:t>
      </w:r>
    </w:p>
    <w:p w:rsidR="00057F4A" w:rsidRDefault="00057F4A" w:rsidP="00085947">
      <w:pPr>
        <w:ind w:firstLine="720"/>
        <w:jc w:val="both"/>
      </w:pPr>
    </w:p>
    <w:p w:rsidR="00E248EF" w:rsidRDefault="00DF373A" w:rsidP="00895318">
      <w:pPr>
        <w:jc w:val="center"/>
      </w:pPr>
      <w:r>
        <w:rPr>
          <w:noProof/>
          <w:lang w:eastAsia="lt-LT"/>
        </w:rPr>
        <w:drawing>
          <wp:inline distT="0" distB="0" distL="0" distR="0">
            <wp:extent cx="5686425" cy="27336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44B5" w:rsidRDefault="008A44B5" w:rsidP="00E248EF">
      <w:pPr>
        <w:jc w:val="center"/>
      </w:pPr>
    </w:p>
    <w:p w:rsidR="005B0AB0" w:rsidRDefault="00A2608A" w:rsidP="00021B04">
      <w:pPr>
        <w:jc w:val="center"/>
        <w:rPr>
          <w:b/>
        </w:rPr>
      </w:pPr>
      <w:r>
        <w:rPr>
          <w:b/>
        </w:rPr>
        <w:t>6</w:t>
      </w:r>
      <w:r w:rsidR="0025216B" w:rsidRPr="0025216B">
        <w:rPr>
          <w:b/>
        </w:rPr>
        <w:t xml:space="preserve"> diagrama. KSP </w:t>
      </w:r>
      <w:r w:rsidR="00E14020">
        <w:rPr>
          <w:b/>
        </w:rPr>
        <w:t>p</w:t>
      </w:r>
      <w:r w:rsidR="00DF373A">
        <w:rPr>
          <w:b/>
        </w:rPr>
        <w:t>r</w:t>
      </w:r>
      <w:r w:rsidR="00E14020">
        <w:rPr>
          <w:b/>
        </w:rPr>
        <w:t>iemonių</w:t>
      </w:r>
      <w:r w:rsidR="0025216B" w:rsidRPr="0025216B">
        <w:rPr>
          <w:b/>
        </w:rPr>
        <w:t xml:space="preserve"> įgyvendinimas 201</w:t>
      </w:r>
      <w:r w:rsidR="009D3CE4" w:rsidRPr="00AA2F9D">
        <w:rPr>
          <w:b/>
          <w:lang w:val="en-US"/>
        </w:rPr>
        <w:t>3</w:t>
      </w:r>
      <w:r w:rsidR="00895318">
        <w:rPr>
          <w:b/>
        </w:rPr>
        <w:t xml:space="preserve"> m.</w:t>
      </w:r>
    </w:p>
    <w:p w:rsidR="00895318" w:rsidRDefault="00895318" w:rsidP="00314EA2">
      <w:pPr>
        <w:ind w:firstLine="720"/>
        <w:jc w:val="both"/>
      </w:pPr>
    </w:p>
    <w:p w:rsidR="00A2608A" w:rsidRDefault="00A2608A" w:rsidP="00314EA2">
      <w:pPr>
        <w:ind w:firstLine="720"/>
        <w:jc w:val="both"/>
      </w:pPr>
      <w:r>
        <w:t xml:space="preserve">Svarbu atkreipti dėmesį į tai, kad Klaipėdos miesto savivaldybės 2013-2020 m. planas </w:t>
      </w:r>
      <w:r w:rsidR="002A4B9D">
        <w:t xml:space="preserve">neseniai, taip pat, kad </w:t>
      </w:r>
      <w:r>
        <w:t xml:space="preserve"> dauguma jame suplanuotų priemonių yra susijusios su 2014-2020 metų ES finansinės paramos panaudojimo laikotarpiu, dėl to dar nėra pradėtos vykdyti pilna apimtimi.</w:t>
      </w:r>
    </w:p>
    <w:p w:rsidR="00A2608A" w:rsidRDefault="00A2608A" w:rsidP="00314EA2">
      <w:pPr>
        <w:ind w:firstLine="720"/>
        <w:jc w:val="both"/>
      </w:pPr>
    </w:p>
    <w:tbl>
      <w:tblPr>
        <w:tblW w:w="0" w:type="auto"/>
        <w:shd w:val="clear" w:color="auto" w:fill="FF99CC"/>
        <w:tblLook w:val="01E0" w:firstRow="1" w:lastRow="1" w:firstColumn="1" w:lastColumn="1" w:noHBand="0" w:noVBand="0"/>
      </w:tblPr>
      <w:tblGrid>
        <w:gridCol w:w="9855"/>
      </w:tblGrid>
      <w:tr w:rsidR="00546D46" w:rsidRPr="00546D46" w:rsidTr="00F07CD0">
        <w:tc>
          <w:tcPr>
            <w:tcW w:w="9855" w:type="dxa"/>
            <w:shd w:val="clear" w:color="auto" w:fill="FF99CC"/>
          </w:tcPr>
          <w:p w:rsidR="004D64AD" w:rsidRPr="00546D46" w:rsidRDefault="008A44B5" w:rsidP="003A44CE">
            <w:pPr>
              <w:ind w:firstLine="711"/>
              <w:jc w:val="both"/>
            </w:pPr>
            <w:r w:rsidRPr="00546D46">
              <w:t xml:space="preserve">Trumpas </w:t>
            </w:r>
            <w:r w:rsidR="0026227C" w:rsidRPr="00546D46">
              <w:t xml:space="preserve">neįvykdytų </w:t>
            </w:r>
            <w:r w:rsidRPr="00546D46">
              <w:t xml:space="preserve">KSP </w:t>
            </w:r>
            <w:r w:rsidR="003A44CE" w:rsidRPr="00546D46">
              <w:t>priemonių</w:t>
            </w:r>
            <w:r w:rsidRPr="00546D46">
              <w:t xml:space="preserve"> aprašymas</w:t>
            </w:r>
          </w:p>
        </w:tc>
      </w:tr>
    </w:tbl>
    <w:p w:rsidR="004D64AD" w:rsidRPr="002A4B9D" w:rsidRDefault="00F94F16" w:rsidP="00085947">
      <w:pPr>
        <w:ind w:firstLine="720"/>
        <w:jc w:val="both"/>
        <w:rPr>
          <w:b/>
        </w:rPr>
      </w:pPr>
      <w:r w:rsidRPr="002A4B9D">
        <w:rPr>
          <w:b/>
        </w:rPr>
        <w:t>I prioritetas</w:t>
      </w:r>
      <w:r w:rsidR="009045DE" w:rsidRPr="002A4B9D">
        <w:rPr>
          <w:b/>
        </w:rPr>
        <w:t xml:space="preserve"> (nevykdom</w:t>
      </w:r>
      <w:r w:rsidR="00A2608A" w:rsidRPr="002A4B9D">
        <w:rPr>
          <w:b/>
        </w:rPr>
        <w:t>os</w:t>
      </w:r>
      <w:r w:rsidR="009045DE" w:rsidRPr="002A4B9D">
        <w:rPr>
          <w:b/>
        </w:rPr>
        <w:t xml:space="preserve"> </w:t>
      </w:r>
      <w:r w:rsidR="009B272E" w:rsidRPr="002A4B9D">
        <w:rPr>
          <w:b/>
        </w:rPr>
        <w:t>2</w:t>
      </w:r>
      <w:r w:rsidR="000D66F6" w:rsidRPr="002A4B9D">
        <w:rPr>
          <w:b/>
        </w:rPr>
        <w:t>3</w:t>
      </w:r>
      <w:r w:rsidR="009045DE" w:rsidRPr="002A4B9D">
        <w:rPr>
          <w:b/>
        </w:rPr>
        <w:t xml:space="preserve"> </w:t>
      </w:r>
      <w:r w:rsidR="00A2608A" w:rsidRPr="002A4B9D">
        <w:rPr>
          <w:b/>
        </w:rPr>
        <w:t>priemonės</w:t>
      </w:r>
      <w:r w:rsidR="009045DE" w:rsidRPr="002A4B9D">
        <w:rPr>
          <w:b/>
        </w:rPr>
        <w:t>)</w:t>
      </w:r>
      <w:r w:rsidRPr="002A4B9D">
        <w:rPr>
          <w:b/>
        </w:rPr>
        <w:t xml:space="preserve">: </w:t>
      </w:r>
    </w:p>
    <w:p w:rsidR="00B5233F" w:rsidRPr="00546D46" w:rsidRDefault="00DD6D76" w:rsidP="00B5233F">
      <w:pPr>
        <w:ind w:firstLine="720"/>
        <w:jc w:val="both"/>
      </w:pPr>
      <w:r w:rsidRPr="00546D46">
        <w:rPr>
          <w:i/>
        </w:rPr>
        <w:t>„</w:t>
      </w:r>
      <w:r w:rsidR="009D3CE4" w:rsidRPr="00546D46">
        <w:t>1.2.1.1. Atlikti sveikatos priežiūros paslaugų ekonominio ir geografinio prieinamumo tyrimą, nustatyti sveikatos priežiūros paslaugų organizavimo kokybės vertinimo kriterijus ir taikyti juos asmens  sveikatos priežiūros įstaigose</w:t>
      </w:r>
      <w:r w:rsidR="00B5233F" w:rsidRPr="00546D46">
        <w:t xml:space="preserve">”, „1.2.1.3. Įsteigti psichikos sveikatos dienos centrą vaikams“, </w:t>
      </w:r>
      <w:r w:rsidR="00057F4A" w:rsidRPr="00546D46">
        <w:t>„1.2.1.4. Sukurti gerosios ir blogosios patirties analizės ir stebėsenos tarpinstitucinę sistemą sveikatos sektoriuje“, „</w:t>
      </w:r>
      <w:r w:rsidR="00B5233F" w:rsidRPr="00546D46">
        <w:t>1.2.1.6. Remti sveikatos priežiūros paslaugas nustatytų kategorijų gyventojams”, „1.2.1.7. Plėsti paslaugų spektrą vaikams Klaipėdos sutrikusio vystymosi kūdikių namuose“, „1.2.2.1. Sukurti ir vykdyti sveiko miesto principų viešinimo strategiją“</w:t>
      </w:r>
      <w:r w:rsidR="009155EF" w:rsidRPr="00546D46">
        <w:t>, „1.3.2.3. Pradėti teikti socialinių įgūdžių ugdymo ir palaikymo paslaugas vaikams su negalia ir jų šeimoms, suaugusiems asmenims su negalia, senyvo amžiaus asmenims“</w:t>
      </w:r>
      <w:r w:rsidR="00A046D5" w:rsidRPr="00546D46">
        <w:t xml:space="preserve">, </w:t>
      </w:r>
      <w:r w:rsidR="00C3045E" w:rsidRPr="00546D46">
        <w:t xml:space="preserve">„1.3.2.4. Inicijuoti savarankiško gyvenimo namų steigimą“, </w:t>
      </w:r>
      <w:r w:rsidR="000D66F6">
        <w:t>„</w:t>
      </w:r>
      <w:r w:rsidR="000D66F6" w:rsidRPr="000D66F6">
        <w:t>1.3.2.5. Pradėti teikti laikino nakvynės suteikimo paslaugas asmenims, kurie yra benamiai, piktnaudžiauja alkoholiu, narkotinėmis, psichotropinėmis medžiagomis, esant krizinei situacijai</w:t>
      </w:r>
      <w:r w:rsidR="000D66F6">
        <w:t>“,</w:t>
      </w:r>
      <w:r w:rsidR="000D66F6" w:rsidRPr="000D66F6">
        <w:t xml:space="preserve"> </w:t>
      </w:r>
      <w:r w:rsidR="00A046D5" w:rsidRPr="00546D46">
        <w:t xml:space="preserve">„1.3.3.4. Pradėti teikti dienos socialinės globos paslaugas namuose vaikams su negalia“, „1.3.3.5. Pradėti teikti trumpalaikės ir ilgalaikės  socialinės globos paslaugas vaikams su negalia institucijoje ir (arba) namuose“, </w:t>
      </w:r>
      <w:r w:rsidR="00C3045E" w:rsidRPr="00546D46">
        <w:t xml:space="preserve">„1.3.3.7. Inicijuoti grupinio gyvenimo namų įsteigimą“, </w:t>
      </w:r>
      <w:r w:rsidR="00A046D5" w:rsidRPr="00546D46">
        <w:t xml:space="preserve">„1.3.3.8. Skatinti vaikų, likusių be tėvų globos, globą </w:t>
      </w:r>
      <w:r w:rsidR="00A046D5" w:rsidRPr="00546D46">
        <w:lastRenderedPageBreak/>
        <w:t>šeimoje, numatant savivaldybės paramą“</w:t>
      </w:r>
      <w:r w:rsidR="00AA2F9D" w:rsidRPr="00546D46">
        <w:t>,</w:t>
      </w:r>
      <w:r w:rsidR="009155EF" w:rsidRPr="00546D46">
        <w:t xml:space="preserve"> </w:t>
      </w:r>
      <w:r w:rsidR="00AA2F9D" w:rsidRPr="00546D46">
        <w:t>„1.4.1.7. Sukurti ir įgyvendinti bendrojo ugdymo mokyklų kokybės užtikrinimo sistemą, gerinant mokinių bendrąjį raštingumą“, „1.4.2.6. Sukurti mokytojų ir vadovų realių lyderystės sėkmės istorijų sklaidos sistemą“</w:t>
      </w:r>
      <w:r w:rsidR="00AD33C0" w:rsidRPr="00546D46">
        <w:t>, „1.6.3.6. Sudaryti palankias sąlygas irklavimo sporto vystymuisi rekonstravus Klaipėdos irklavimo centrą (Gluosnių skg. 8) ir senąją irklavimo bazę (Pylimo g. 6)“</w:t>
      </w:r>
      <w:r w:rsidR="00B547A3">
        <w:t xml:space="preserve">; </w:t>
      </w:r>
      <w:r w:rsidR="00AD33C0" w:rsidRPr="00546D46">
        <w:t xml:space="preserve"> </w:t>
      </w:r>
      <w:r w:rsidR="00B547A3" w:rsidRPr="00546D46">
        <w:t xml:space="preserve">„1.4.2.7. Didinti suaugusiųjų neformaliojo švietimo paslaugų įvairovę“, „1.3.2.2. Pradėti teikti pagalbos į namus paslaugas vaikams su negalia ir jų šeimoms“ </w:t>
      </w:r>
      <w:r w:rsidR="00B5233F" w:rsidRPr="00546D46">
        <w:t xml:space="preserve">– </w:t>
      </w:r>
      <w:r w:rsidR="00892152" w:rsidRPr="00546D46">
        <w:t>priemonių</w:t>
      </w:r>
      <w:r w:rsidR="00B5233F" w:rsidRPr="00546D46">
        <w:t xml:space="preserve"> įgyvendinimas atidėtas vėlesniam laikotarpiui</w:t>
      </w:r>
      <w:r w:rsidR="00A2608A">
        <w:t xml:space="preserve">, laukiama, kol bus galima teikti paraiškas </w:t>
      </w:r>
      <w:r w:rsidR="00B547A3">
        <w:t xml:space="preserve">valstybės ir </w:t>
      </w:r>
      <w:r w:rsidR="00A2608A">
        <w:t xml:space="preserve">ES fondų/programų </w:t>
      </w:r>
      <w:r w:rsidR="00B547A3">
        <w:t xml:space="preserve">bei </w:t>
      </w:r>
      <w:r w:rsidR="00A2608A">
        <w:t>kitoms lėšoms gauti</w:t>
      </w:r>
      <w:r w:rsidR="00B5233F" w:rsidRPr="00546D46">
        <w:t>.</w:t>
      </w:r>
    </w:p>
    <w:p w:rsidR="00AA2F9D" w:rsidRPr="00546D46" w:rsidRDefault="00AA2F9D" w:rsidP="00B5233F">
      <w:pPr>
        <w:ind w:firstLine="720"/>
        <w:jc w:val="both"/>
      </w:pPr>
      <w:r w:rsidRPr="00546D46">
        <w:t>„1.4.1.10. Įgyvendinti principą „pinigai paskui vaiką“ neformaliojo švietimo sistemoje“ - nėra reglamentuojančių teisės aktų.</w:t>
      </w:r>
    </w:p>
    <w:p w:rsidR="00AA2F9D" w:rsidRPr="00546D46" w:rsidRDefault="00B547A3" w:rsidP="00AA2F9D">
      <w:pPr>
        <w:ind w:firstLine="720"/>
        <w:jc w:val="both"/>
      </w:pPr>
      <w:r w:rsidRPr="00546D46">
        <w:t xml:space="preserve"> </w:t>
      </w:r>
      <w:r w:rsidR="00275F7F" w:rsidRPr="00546D46">
        <w:t>„1.4.3.8. Pertvarkyti II vandenvietę, pritaikant buvusią infrastruktūrą švietimo, sporto, saviraiškos reikmėms (naudojant pažangias technologijas ir atsinaujinančius energijos šaltinius)“ - viešųjų pirkimų procedūros pradėtos rengti 2014 m.</w:t>
      </w:r>
    </w:p>
    <w:p w:rsidR="00275F7F" w:rsidRPr="00546D46" w:rsidRDefault="00275F7F" w:rsidP="00AA2F9D">
      <w:pPr>
        <w:ind w:firstLine="720"/>
        <w:jc w:val="both"/>
      </w:pPr>
      <w:r w:rsidRPr="00546D46">
        <w:t xml:space="preserve">„1.4.3.9. Iškelti švietimo įstaigas iš uosto plėtros teritorijos“ - Klaipėdos moksleivių saviraiškos centrą, Strėvos g. 5, planuojama perkelti 2014 m. į pritaikytas patalpas </w:t>
      </w:r>
      <w:r w:rsidR="00E902AA" w:rsidRPr="00546D46">
        <w:t xml:space="preserve">pastate </w:t>
      </w:r>
      <w:r w:rsidRPr="00546D46">
        <w:t>Smiltelės g. 22. Siekiant išspręsti lopšelio-darželio „Aušrinė“, Strėvos g. 9, iškėlimo iš uosto plėtros teritorijos klausimą, planuojama 2014 m. parengti techninį  projektą „Priestato statyba prie lopšelio-darželio „Puriena“, o 2015 m. pastatyti priestatą.</w:t>
      </w:r>
    </w:p>
    <w:p w:rsidR="00AA2F9D" w:rsidRPr="00546D46" w:rsidRDefault="006472FF" w:rsidP="00B5233F">
      <w:pPr>
        <w:ind w:firstLine="720"/>
        <w:jc w:val="both"/>
      </w:pPr>
      <w:r w:rsidRPr="00546D46">
        <w:t xml:space="preserve">„1.4.3.11. Renovuoti Jaunimo centro pastatus Puodžių g. 1“ </w:t>
      </w:r>
      <w:r w:rsidR="00E45EE6" w:rsidRPr="00546D46">
        <w:t>–</w:t>
      </w:r>
      <w:r w:rsidRPr="00546D46">
        <w:t xml:space="preserve"> </w:t>
      </w:r>
      <w:r w:rsidR="00E45EE6" w:rsidRPr="00546D46">
        <w:t>p</w:t>
      </w:r>
      <w:r w:rsidRPr="00546D46">
        <w:t>riemon</w:t>
      </w:r>
      <w:r w:rsidR="00E45EE6" w:rsidRPr="00546D46">
        <w:t>ę planuojama</w:t>
      </w:r>
      <w:r w:rsidRPr="00546D46">
        <w:t xml:space="preserve"> pradėt</w:t>
      </w:r>
      <w:r w:rsidR="00E45EE6" w:rsidRPr="00546D46">
        <w:t>i</w:t>
      </w:r>
      <w:r w:rsidRPr="00546D46">
        <w:t xml:space="preserve"> įgyvendinti 2014 m.</w:t>
      </w:r>
    </w:p>
    <w:p w:rsidR="00E45EE6" w:rsidRPr="00546D46" w:rsidRDefault="00E45EE6" w:rsidP="00B5233F">
      <w:pPr>
        <w:ind w:firstLine="720"/>
        <w:jc w:val="both"/>
      </w:pPr>
      <w:r w:rsidRPr="00546D46">
        <w:t>„1.5.1.2. Numatyti priemones apleistų ir neprižiūrimų pastatų bei kitų statinių tvarkymui, siekiant įstatyminių galių inicijuoti bei savarankiškai spręsti šiuos klausimus perduoti savivaldybei“ - kreipimaisi pradėti rengti 2014 m., priėmus valstybės tarnautoją, kuriam priskirta nauja funkcija - vykdyti apleistų statinių, priskirtų savivaldybės kompetencijai, priežiūrą.</w:t>
      </w:r>
    </w:p>
    <w:p w:rsidR="00E45EE6" w:rsidRPr="00546D46" w:rsidRDefault="00E45EE6" w:rsidP="00B5233F">
      <w:pPr>
        <w:ind w:firstLine="720"/>
        <w:jc w:val="both"/>
      </w:pPr>
    </w:p>
    <w:p w:rsidR="004D64AD" w:rsidRPr="002A4B9D" w:rsidRDefault="00F94F16" w:rsidP="00BD399F">
      <w:pPr>
        <w:ind w:firstLine="720"/>
        <w:jc w:val="both"/>
        <w:rPr>
          <w:b/>
        </w:rPr>
      </w:pPr>
      <w:r w:rsidRPr="002A4B9D">
        <w:rPr>
          <w:b/>
        </w:rPr>
        <w:t>II prioritetas</w:t>
      </w:r>
      <w:r w:rsidR="009045DE" w:rsidRPr="002A4B9D">
        <w:rPr>
          <w:b/>
        </w:rPr>
        <w:t xml:space="preserve"> (nevykdom</w:t>
      </w:r>
      <w:r w:rsidR="00B547A3" w:rsidRPr="002A4B9D">
        <w:rPr>
          <w:b/>
        </w:rPr>
        <w:t>os</w:t>
      </w:r>
      <w:r w:rsidR="009045DE" w:rsidRPr="002A4B9D">
        <w:rPr>
          <w:b/>
        </w:rPr>
        <w:t xml:space="preserve"> </w:t>
      </w:r>
      <w:r w:rsidR="00540BCE" w:rsidRPr="002A4B9D">
        <w:rPr>
          <w:b/>
        </w:rPr>
        <w:t>9</w:t>
      </w:r>
      <w:r w:rsidR="009045DE" w:rsidRPr="002A4B9D">
        <w:rPr>
          <w:b/>
        </w:rPr>
        <w:t xml:space="preserve"> </w:t>
      </w:r>
      <w:r w:rsidR="009F2D2C" w:rsidRPr="002A4B9D">
        <w:rPr>
          <w:b/>
        </w:rPr>
        <w:t>priemon</w:t>
      </w:r>
      <w:r w:rsidR="00B547A3" w:rsidRPr="002A4B9D">
        <w:rPr>
          <w:b/>
        </w:rPr>
        <w:t>ės</w:t>
      </w:r>
      <w:r w:rsidR="009045DE" w:rsidRPr="002A4B9D">
        <w:rPr>
          <w:b/>
        </w:rPr>
        <w:t>)</w:t>
      </w:r>
      <w:r w:rsidRPr="002A4B9D">
        <w:rPr>
          <w:b/>
        </w:rPr>
        <w:t xml:space="preserve">: </w:t>
      </w:r>
    </w:p>
    <w:p w:rsidR="00B547A3" w:rsidRPr="00546D46" w:rsidRDefault="004D64AD" w:rsidP="00B547A3">
      <w:pPr>
        <w:ind w:firstLine="720"/>
        <w:jc w:val="both"/>
      </w:pPr>
      <w:r w:rsidRPr="00546D46">
        <w:t>„</w:t>
      </w:r>
      <w:r w:rsidR="009F2D2C" w:rsidRPr="00546D46">
        <w:t>2.1.2.9. Pagerinti miesto transporto susisiekimo informacinę sistemą, mažinant automobilių ridą reikiamam objektui surasti</w:t>
      </w:r>
      <w:r w:rsidR="00C2254D" w:rsidRPr="00546D46">
        <w:t>“</w:t>
      </w:r>
      <w:r w:rsidR="007A41A1" w:rsidRPr="00546D46">
        <w:t>,</w:t>
      </w:r>
      <w:r w:rsidR="00C2254D" w:rsidRPr="00546D46">
        <w:t>„</w:t>
      </w:r>
      <w:r w:rsidR="00B6184A" w:rsidRPr="00546D46">
        <w:t>2.1.3.6. Rekonstruoti pritekėjimo kolektorių iš pietinės LEZ dalies į 19 nuotekų siurblinę</w:t>
      </w:r>
      <w:r w:rsidR="00C2254D" w:rsidRPr="00546D46">
        <w:t xml:space="preserve">“, </w:t>
      </w:r>
      <w:r w:rsidR="006C0A62" w:rsidRPr="00546D46">
        <w:t>„</w:t>
      </w:r>
      <w:r w:rsidR="009F2D2C" w:rsidRPr="00546D46">
        <w:t>2.1.3.10. Pastatyti antrą nuotekų spaudiminę liniją iš Klaipėdos m. į Klaipėdos m. nuotekų valymo įrenginius</w:t>
      </w:r>
      <w:r w:rsidR="00C2254D" w:rsidRPr="00546D46">
        <w:t>“,</w:t>
      </w:r>
      <w:r w:rsidR="001B43AA" w:rsidRPr="00546D46">
        <w:t xml:space="preserve"> </w:t>
      </w:r>
      <w:r w:rsidR="006C0A62" w:rsidRPr="00546D46">
        <w:t>„</w:t>
      </w:r>
      <w:r w:rsidR="009F2D2C" w:rsidRPr="00546D46">
        <w:t>2.1.3.11. Pastatyti Klaipėdos m. nuotekų valykloje susidariusio dumblo utilizacijos įrenginius</w:t>
      </w:r>
      <w:r w:rsidR="00C2254D" w:rsidRPr="00546D46">
        <w:t>“,</w:t>
      </w:r>
      <w:r w:rsidR="001B43AA" w:rsidRPr="00546D46">
        <w:t xml:space="preserve"> </w:t>
      </w:r>
      <w:r w:rsidR="006C0A62" w:rsidRPr="00546D46">
        <w:t>„</w:t>
      </w:r>
      <w:r w:rsidR="009F2D2C" w:rsidRPr="00546D46">
        <w:t>2.1.3.12. Įrengti Klaipėdos m. nuotekų valykloje sukaupto nestabilizuoto dumblo saugojimo kaupyklą</w:t>
      </w:r>
      <w:r w:rsidR="00C2254D" w:rsidRPr="00546D46">
        <w:t xml:space="preserve">“, </w:t>
      </w:r>
      <w:r w:rsidR="006C0A62" w:rsidRPr="00546D46">
        <w:t>„</w:t>
      </w:r>
      <w:r w:rsidR="009F2D2C" w:rsidRPr="00546D46">
        <w:t>2.1.3.16. Peržiūrėti ir pagal poreikį atnaujinti arba parengti naują šilumos ūkio specialųjį planą</w:t>
      </w:r>
      <w:r w:rsidR="002A0755" w:rsidRPr="00546D46">
        <w:t>“</w:t>
      </w:r>
      <w:r w:rsidR="00540BCE" w:rsidRPr="00546D46">
        <w:t>, „2.3.2.1. Parengti ir įgyvendinti atsinaujinančių energijos šaltinių panaudojimo plėtros planą“, „2.4.2.9. Atlikti mieste esančių sodų teritorijų vystymo perspektyvų analizę su ekonominiais paskaičiavimais“</w:t>
      </w:r>
      <w:r w:rsidR="00540BCE" w:rsidRPr="00546D46">
        <w:rPr>
          <w:i/>
        </w:rPr>
        <w:t xml:space="preserve"> </w:t>
      </w:r>
      <w:r w:rsidR="002A0755" w:rsidRPr="00546D46">
        <w:rPr>
          <w:i/>
        </w:rPr>
        <w:t xml:space="preserve">– </w:t>
      </w:r>
      <w:r w:rsidR="00B547A3" w:rsidRPr="00546D46">
        <w:t>priemonių įgyvendinimas atidėtas vėlesniam laikotarpiui</w:t>
      </w:r>
      <w:r w:rsidR="00B547A3">
        <w:t>, laukiama, kol bus galima teikti paraiškas valstybės ir ES fondų/programų bei kitoms lėšoms gauti</w:t>
      </w:r>
      <w:r w:rsidR="00B547A3" w:rsidRPr="00546D46">
        <w:t>.</w:t>
      </w:r>
    </w:p>
    <w:p w:rsidR="005A3207" w:rsidRPr="00546D46" w:rsidRDefault="005A3207" w:rsidP="00B547A3">
      <w:pPr>
        <w:pStyle w:val="Pagrindinistekstas"/>
        <w:tabs>
          <w:tab w:val="left" w:pos="3450"/>
        </w:tabs>
        <w:spacing w:after="0"/>
        <w:jc w:val="both"/>
      </w:pPr>
    </w:p>
    <w:p w:rsidR="002F0395" w:rsidRPr="002A4B9D" w:rsidRDefault="00F94F16" w:rsidP="00085947">
      <w:pPr>
        <w:pStyle w:val="Pagrindinistekstas"/>
        <w:tabs>
          <w:tab w:val="left" w:pos="3450"/>
        </w:tabs>
        <w:spacing w:after="0"/>
        <w:ind w:firstLine="711"/>
        <w:jc w:val="both"/>
        <w:rPr>
          <w:b/>
        </w:rPr>
      </w:pPr>
      <w:r w:rsidRPr="002A4B9D">
        <w:rPr>
          <w:b/>
        </w:rPr>
        <w:t>III prioritetas</w:t>
      </w:r>
      <w:r w:rsidR="009045DE" w:rsidRPr="002A4B9D">
        <w:rPr>
          <w:b/>
        </w:rPr>
        <w:t xml:space="preserve"> (nevykdom</w:t>
      </w:r>
      <w:r w:rsidR="006C0A10" w:rsidRPr="002A4B9D">
        <w:rPr>
          <w:b/>
        </w:rPr>
        <w:t>a</w:t>
      </w:r>
      <w:r w:rsidR="009045DE" w:rsidRPr="002A4B9D">
        <w:rPr>
          <w:b/>
        </w:rPr>
        <w:t xml:space="preserve"> </w:t>
      </w:r>
      <w:r w:rsidR="006C0A10" w:rsidRPr="002A4B9D">
        <w:rPr>
          <w:b/>
        </w:rPr>
        <w:t>1</w:t>
      </w:r>
      <w:r w:rsidR="00B36081" w:rsidRPr="002A4B9D">
        <w:rPr>
          <w:b/>
        </w:rPr>
        <w:t>8</w:t>
      </w:r>
      <w:r w:rsidR="004F5F82" w:rsidRPr="002A4B9D">
        <w:rPr>
          <w:b/>
        </w:rPr>
        <w:t xml:space="preserve"> </w:t>
      </w:r>
      <w:r w:rsidR="00B547A3" w:rsidRPr="002A4B9D">
        <w:rPr>
          <w:b/>
        </w:rPr>
        <w:t>priemonių</w:t>
      </w:r>
      <w:r w:rsidR="009045DE" w:rsidRPr="002A4B9D">
        <w:rPr>
          <w:b/>
        </w:rPr>
        <w:t>)</w:t>
      </w:r>
      <w:r w:rsidRPr="002A4B9D">
        <w:rPr>
          <w:b/>
        </w:rPr>
        <w:t xml:space="preserve">: </w:t>
      </w:r>
    </w:p>
    <w:p w:rsidR="00167F66" w:rsidRPr="00546D46" w:rsidRDefault="00167F66" w:rsidP="00B547A3">
      <w:pPr>
        <w:ind w:firstLine="720"/>
        <w:jc w:val="both"/>
      </w:pPr>
      <w:r w:rsidRPr="00546D46">
        <w:t>„3.1.2.4. Įkurti verslo inkubatorių siekiant gerinti verslo sąlygas mieste“</w:t>
      </w:r>
      <w:r w:rsidR="001670F7" w:rsidRPr="00546D46">
        <w:t>, „</w:t>
      </w:r>
      <w:r w:rsidRPr="00546D46">
        <w:t xml:space="preserve">3.1.3.2. Bendradarbiauti taikomųjų teritorinių tyrimų srityje“, </w:t>
      </w:r>
      <w:r w:rsidR="001670F7" w:rsidRPr="00546D46">
        <w:t>„</w:t>
      </w:r>
      <w:r w:rsidRPr="00546D46">
        <w:t>3.2.1.2. Įrengti turizmo maršruto „Karalienės Luizės keliais“ infrastruktūrą“,</w:t>
      </w:r>
      <w:r w:rsidR="00A5117E" w:rsidRPr="00546D46">
        <w:t xml:space="preserve"> </w:t>
      </w:r>
      <w:r w:rsidRPr="00546D46">
        <w:t>„3.2.1.4. Siekti Mėlynosios vėliavos statuso Girulių ir Smiltynės paplūdimiams“, „3.2.1.8. Atlikti poreikio analizę dėl parodų ir konferencijų turizmo perspektyvų Klaipėdos mieste</w:t>
      </w:r>
      <w:r w:rsidR="001670F7" w:rsidRPr="00546D46">
        <w:t>“, „</w:t>
      </w:r>
      <w:r w:rsidRPr="00546D46">
        <w:t>3.3.2.5. Modernizuoti Mažosios Lietuvos istorijos muziejaus ekspozicijas</w:t>
      </w:r>
      <w:r w:rsidR="001670F7" w:rsidRPr="00546D46">
        <w:t xml:space="preserve">“, </w:t>
      </w:r>
      <w:r w:rsidR="00546D46" w:rsidRPr="00546D46">
        <w:t xml:space="preserve">„3.3.2.7. Parengti miesto piliavietėje naujai įrengiamų erdvių muziejifikavimo koncepciją ir įrengti ekspozicijas“, </w:t>
      </w:r>
      <w:r w:rsidR="001670F7" w:rsidRPr="00546D46">
        <w:t xml:space="preserve">„3.3.3.2. Organizuoti Baltijos jūros regiono šalių  kultūros forumus“, „3.4.1.5. Parengti ir įgyvendinti savivaldybės teikiamų paslaugų prieinamumo didinimo Klaipėdos miesto gyvenamuosiuose kvartaluose strategiją“, „3.4.2.1. Parengti ir įgyvendinti Klaipėdos miesto savivaldybės komunikacijos ir gyventojų įtraukimo į sprendimų priėmimą strategiją“, „3.4.3.5. Diegti visuotinės kokybės vadybos principus Savivaldybės administracijoje“ – </w:t>
      </w:r>
      <w:r w:rsidR="00B547A3" w:rsidRPr="00546D46">
        <w:t>priemonių įgyvendinimas atidėtas vėlesniam laikotarpiui</w:t>
      </w:r>
      <w:r w:rsidR="00B547A3">
        <w:t>, laukiama, kol bus galima teikti paraiškas valstybės ir ES fondų/programų bei kitoms lėšoms gauti</w:t>
      </w:r>
      <w:r w:rsidR="00B547A3" w:rsidRPr="00546D46">
        <w:t>.</w:t>
      </w:r>
    </w:p>
    <w:p w:rsidR="00892152" w:rsidRPr="00546D46" w:rsidRDefault="00A5117E" w:rsidP="00892152">
      <w:pPr>
        <w:ind w:firstLine="720"/>
        <w:jc w:val="both"/>
      </w:pPr>
      <w:r w:rsidRPr="00546D46">
        <w:t xml:space="preserve">„3.1.1.4. Siekiant gerinti verslininko įvaizdį, įsteigti verslo nominacijas”, </w:t>
      </w:r>
      <w:r w:rsidR="00546D46" w:rsidRPr="00546D46">
        <w:t>„</w:t>
      </w:r>
      <w:r w:rsidR="00167F66" w:rsidRPr="00546D46">
        <w:t>3.3.1.2. Bendradarbiaujant su mokslo, verslo ir valstybinėmis įstaigomis parengti ir įgyvendinti miesto jūrinio paveldo tyrimų programą</w:t>
      </w:r>
      <w:r w:rsidR="00892152" w:rsidRPr="00546D46">
        <w:t>“, „</w:t>
      </w:r>
      <w:r w:rsidR="00167F66" w:rsidRPr="00546D46">
        <w:t xml:space="preserve">3.3.2.1. Parengti Žvejų rūmų veiklos koncepciją ir modernizuoti </w:t>
      </w:r>
      <w:r w:rsidR="00167F66" w:rsidRPr="00546D46">
        <w:lastRenderedPageBreak/>
        <w:t>infrastruktūrą</w:t>
      </w:r>
      <w:r w:rsidR="00892152" w:rsidRPr="00546D46">
        <w:t>“, „</w:t>
      </w:r>
      <w:r w:rsidR="00167F66" w:rsidRPr="00546D46">
        <w:t>3.3.2.2. Išanalizuoti esamą bendruomenės centrų ir bibliotekų struktūrą; parengti ir įgyvendinti naują veiklos koncepciją</w:t>
      </w:r>
      <w:r w:rsidR="00892152" w:rsidRPr="00546D46">
        <w:t>“, „</w:t>
      </w:r>
      <w:r w:rsidR="00167F66" w:rsidRPr="00546D46">
        <w:t>3.3.2.4. Parengti ir įgyvendinti dailės palikimo išsaugojimo Klaipėdos mieste koncepciją ir programą</w:t>
      </w:r>
      <w:r w:rsidR="00892152" w:rsidRPr="00546D46">
        <w:t>“, „</w:t>
      </w:r>
      <w:r w:rsidR="001670F7" w:rsidRPr="00546D46">
        <w:t>3.3.4.4. Vykdyti bendrus projektus su Vilniaus dailės akademijos Klaipėdos urbanistikos ir dizaino institutu</w:t>
      </w:r>
      <w:r w:rsidR="00892152" w:rsidRPr="00546D46">
        <w:t>“</w:t>
      </w:r>
      <w:r w:rsidR="00546D46" w:rsidRPr="00546D46">
        <w:t>, „3.4.1.2. Periodiškai atlikti apklausas, skirtas nustatyti savivaldybės, jos įstaigų ir įmonių teikiamų viešųjų paslaugų vartotojų poreikių patenkinimo lygį (indeksą); remiantis apklausų rezultatais nustatyti tobulintinas veiklos sritis“</w:t>
      </w:r>
      <w:r w:rsidR="00892152" w:rsidRPr="00546D46">
        <w:t xml:space="preserve"> – </w:t>
      </w:r>
      <w:r w:rsidR="001670F7" w:rsidRPr="00546D46">
        <w:t xml:space="preserve"> </w:t>
      </w:r>
      <w:r w:rsidR="00892152" w:rsidRPr="00546D46">
        <w:t>priemonių įgyvendinimas atidėtas vėlesniam laikotarpiui.</w:t>
      </w:r>
    </w:p>
    <w:p w:rsidR="00167F66" w:rsidRPr="00057F4A" w:rsidRDefault="00167F66" w:rsidP="00085947">
      <w:pPr>
        <w:pStyle w:val="Pagrindinistekstas"/>
        <w:tabs>
          <w:tab w:val="left" w:pos="3450"/>
        </w:tabs>
        <w:spacing w:after="0"/>
        <w:ind w:firstLine="711"/>
        <w:jc w:val="both"/>
        <w:rPr>
          <w:color w:val="1F497D" w:themeColor="text2"/>
        </w:rPr>
      </w:pPr>
    </w:p>
    <w:p w:rsidR="00F94F16" w:rsidRPr="005560E0" w:rsidRDefault="00F94F16" w:rsidP="005560E0">
      <w:pPr>
        <w:tabs>
          <w:tab w:val="left" w:pos="1800"/>
        </w:tabs>
        <w:ind w:firstLine="720"/>
        <w:jc w:val="both"/>
      </w:pPr>
      <w:r w:rsidRPr="00EC3F04">
        <w:t>Detal</w:t>
      </w:r>
      <w:r w:rsidR="002A4B9D">
        <w:t xml:space="preserve">i </w:t>
      </w:r>
      <w:r w:rsidRPr="00EC3F04">
        <w:t xml:space="preserve"> KSP </w:t>
      </w:r>
      <w:r w:rsidR="002A4B9D">
        <w:t>priemonių</w:t>
      </w:r>
      <w:r w:rsidR="005560E0">
        <w:t xml:space="preserve"> įgyvendinimo analizė</w:t>
      </w:r>
      <w:r w:rsidR="002A4B9D">
        <w:t xml:space="preserve"> </w:t>
      </w:r>
      <w:r w:rsidR="005560E0">
        <w:t xml:space="preserve"> pateikiama aiškinamojo rašto priede</w:t>
      </w:r>
      <w:r w:rsidR="00B547A3">
        <w:t xml:space="preserve"> Nr. 1</w:t>
      </w:r>
      <w:r w:rsidR="005560E0">
        <w:t>.</w:t>
      </w:r>
    </w:p>
    <w:p w:rsidR="00F94F16" w:rsidRDefault="00F94F16" w:rsidP="00085947">
      <w:pPr>
        <w:ind w:firstLine="720"/>
        <w:jc w:val="both"/>
        <w:rPr>
          <w:b/>
          <w:bCs/>
        </w:rPr>
      </w:pPr>
      <w:r w:rsidRPr="00EC3F04">
        <w:rPr>
          <w:b/>
          <w:bCs/>
        </w:rPr>
        <w:t>4. Sprendimo projekto rengimo metu gauti specialistų vertinimai.</w:t>
      </w:r>
    </w:p>
    <w:p w:rsidR="00F94F16" w:rsidRDefault="00084D9A" w:rsidP="00085947">
      <w:pPr>
        <w:ind w:firstLine="720"/>
        <w:jc w:val="both"/>
        <w:rPr>
          <w:bCs/>
        </w:rPr>
      </w:pPr>
      <w:r>
        <w:rPr>
          <w:bCs/>
        </w:rPr>
        <w:t>Negauti.</w:t>
      </w:r>
    </w:p>
    <w:p w:rsidR="00F94F16" w:rsidRDefault="002D511A" w:rsidP="00085947">
      <w:pPr>
        <w:ind w:firstLine="720"/>
        <w:rPr>
          <w:b/>
          <w:bCs/>
        </w:rPr>
      </w:pPr>
      <w:r>
        <w:rPr>
          <w:b/>
        </w:rPr>
        <w:t>5</w:t>
      </w:r>
      <w:r w:rsidR="00F94F16" w:rsidRPr="00BA6BA8">
        <w:rPr>
          <w:b/>
        </w:rPr>
        <w:t>. Lėšų poreikis sprendimo įgyvendinimui</w:t>
      </w:r>
      <w:r w:rsidR="00F94F16" w:rsidRPr="00BA6BA8">
        <w:rPr>
          <w:b/>
          <w:bCs/>
        </w:rPr>
        <w:t>.</w:t>
      </w:r>
    </w:p>
    <w:p w:rsidR="002D511A" w:rsidRPr="002D511A" w:rsidRDefault="002D511A" w:rsidP="00085947">
      <w:pPr>
        <w:ind w:firstLine="720"/>
        <w:rPr>
          <w:bCs/>
        </w:rPr>
      </w:pPr>
      <w:r w:rsidRPr="002D511A">
        <w:rPr>
          <w:bCs/>
        </w:rPr>
        <w:t xml:space="preserve">Sprendimui įgyvendinti papildomų lėšų neprireiks. </w:t>
      </w:r>
    </w:p>
    <w:p w:rsidR="00F94F16" w:rsidRPr="00BA6BA8" w:rsidRDefault="002D511A" w:rsidP="00085947">
      <w:pPr>
        <w:ind w:firstLine="720"/>
        <w:jc w:val="both"/>
        <w:rPr>
          <w:b/>
        </w:rPr>
      </w:pPr>
      <w:r>
        <w:rPr>
          <w:b/>
          <w:bCs/>
        </w:rPr>
        <w:t>6</w:t>
      </w:r>
      <w:r w:rsidR="00F94F16" w:rsidRPr="00BA6BA8">
        <w:rPr>
          <w:b/>
          <w:bCs/>
        </w:rPr>
        <w:t>. Galimos teigiamos ar neigiamos sprendimo priėmimo pasekmės.</w:t>
      </w:r>
    </w:p>
    <w:p w:rsidR="00140770" w:rsidRDefault="00F94F16" w:rsidP="00085947">
      <w:pPr>
        <w:jc w:val="both"/>
      </w:pPr>
      <w:r>
        <w:rPr>
          <w:b/>
        </w:rPr>
        <w:t xml:space="preserve">       </w:t>
      </w:r>
      <w:r w:rsidR="002061BF">
        <w:rPr>
          <w:b/>
        </w:rPr>
        <w:t xml:space="preserve">     </w:t>
      </w:r>
      <w:r w:rsidRPr="00F478AD">
        <w:t>Pasekmių nenumatoma</w:t>
      </w:r>
      <w:r w:rsidRPr="0035601B">
        <w:t>.</w:t>
      </w:r>
    </w:p>
    <w:p w:rsidR="00543399" w:rsidRDefault="00543399" w:rsidP="00085947">
      <w:pPr>
        <w:jc w:val="both"/>
      </w:pPr>
    </w:p>
    <w:p w:rsidR="00543399" w:rsidRDefault="00543399" w:rsidP="00085947">
      <w:pPr>
        <w:jc w:val="both"/>
      </w:pPr>
    </w:p>
    <w:p w:rsidR="00084D9A" w:rsidRDefault="00F94F16" w:rsidP="00085947">
      <w:pPr>
        <w:jc w:val="both"/>
      </w:pPr>
      <w:r>
        <w:t xml:space="preserve">Strateginio planavimo skyriaus </w:t>
      </w:r>
      <w:r w:rsidR="00690916">
        <w:t xml:space="preserve">vedėja </w:t>
      </w:r>
      <w:r w:rsidR="00690916">
        <w:tab/>
      </w:r>
      <w:r w:rsidR="00690916">
        <w:tab/>
      </w:r>
      <w:r w:rsidR="00690916">
        <w:tab/>
      </w:r>
      <w:r w:rsidR="00690916">
        <w:tab/>
        <w:t>Indrė Butenienė</w:t>
      </w:r>
    </w:p>
    <w:p w:rsidR="003F219C" w:rsidRDefault="003F219C" w:rsidP="00085947">
      <w:pPr>
        <w:jc w:val="both"/>
      </w:pPr>
    </w:p>
    <w:sectPr w:rsidR="003F219C" w:rsidSect="00EF488F">
      <w:footerReference w:type="even" r:id="rId14"/>
      <w:footerReference w:type="default" r:id="rId15"/>
      <w:pgSz w:w="11907" w:h="16840" w:code="9"/>
      <w:pgMar w:top="1134" w:right="397"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27" w:rsidRDefault="00333C27">
      <w:r>
        <w:separator/>
      </w:r>
    </w:p>
  </w:endnote>
  <w:endnote w:type="continuationSeparator" w:id="0">
    <w:p w:rsidR="00333C27" w:rsidRDefault="0033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27" w:rsidRDefault="00333C27" w:rsidP="00084D9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3C27" w:rsidRDefault="00333C27" w:rsidP="00F94F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27" w:rsidRDefault="00333C27" w:rsidP="00F94F1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27" w:rsidRDefault="00333C27">
      <w:r>
        <w:separator/>
      </w:r>
    </w:p>
  </w:footnote>
  <w:footnote w:type="continuationSeparator" w:id="0">
    <w:p w:rsidR="00333C27" w:rsidRDefault="00333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767"/>
    <w:multiLevelType w:val="hybridMultilevel"/>
    <w:tmpl w:val="B0E0323A"/>
    <w:lvl w:ilvl="0" w:tplc="5D3AF82A">
      <w:start w:val="1"/>
      <w:numFmt w:val="bullet"/>
      <w:lvlText w:val="•"/>
      <w:lvlJc w:val="left"/>
      <w:pPr>
        <w:tabs>
          <w:tab w:val="num" w:pos="720"/>
        </w:tabs>
        <w:ind w:left="720" w:hanging="360"/>
      </w:pPr>
      <w:rPr>
        <w:rFonts w:ascii="Times New Roman" w:hAnsi="Times New Roman" w:hint="default"/>
      </w:rPr>
    </w:lvl>
    <w:lvl w:ilvl="1" w:tplc="06FA128C" w:tentative="1">
      <w:start w:val="1"/>
      <w:numFmt w:val="bullet"/>
      <w:lvlText w:val="•"/>
      <w:lvlJc w:val="left"/>
      <w:pPr>
        <w:tabs>
          <w:tab w:val="num" w:pos="1440"/>
        </w:tabs>
        <w:ind w:left="1440" w:hanging="360"/>
      </w:pPr>
      <w:rPr>
        <w:rFonts w:ascii="Times New Roman" w:hAnsi="Times New Roman" w:hint="default"/>
      </w:rPr>
    </w:lvl>
    <w:lvl w:ilvl="2" w:tplc="EE7823C8" w:tentative="1">
      <w:start w:val="1"/>
      <w:numFmt w:val="bullet"/>
      <w:lvlText w:val="•"/>
      <w:lvlJc w:val="left"/>
      <w:pPr>
        <w:tabs>
          <w:tab w:val="num" w:pos="2160"/>
        </w:tabs>
        <w:ind w:left="2160" w:hanging="360"/>
      </w:pPr>
      <w:rPr>
        <w:rFonts w:ascii="Times New Roman" w:hAnsi="Times New Roman" w:hint="default"/>
      </w:rPr>
    </w:lvl>
    <w:lvl w:ilvl="3" w:tplc="F5D0C3F6" w:tentative="1">
      <w:start w:val="1"/>
      <w:numFmt w:val="bullet"/>
      <w:lvlText w:val="•"/>
      <w:lvlJc w:val="left"/>
      <w:pPr>
        <w:tabs>
          <w:tab w:val="num" w:pos="2880"/>
        </w:tabs>
        <w:ind w:left="2880" w:hanging="360"/>
      </w:pPr>
      <w:rPr>
        <w:rFonts w:ascii="Times New Roman" w:hAnsi="Times New Roman" w:hint="default"/>
      </w:rPr>
    </w:lvl>
    <w:lvl w:ilvl="4" w:tplc="37785008" w:tentative="1">
      <w:start w:val="1"/>
      <w:numFmt w:val="bullet"/>
      <w:lvlText w:val="•"/>
      <w:lvlJc w:val="left"/>
      <w:pPr>
        <w:tabs>
          <w:tab w:val="num" w:pos="3600"/>
        </w:tabs>
        <w:ind w:left="3600" w:hanging="360"/>
      </w:pPr>
      <w:rPr>
        <w:rFonts w:ascii="Times New Roman" w:hAnsi="Times New Roman" w:hint="default"/>
      </w:rPr>
    </w:lvl>
    <w:lvl w:ilvl="5" w:tplc="9850ACE4" w:tentative="1">
      <w:start w:val="1"/>
      <w:numFmt w:val="bullet"/>
      <w:lvlText w:val="•"/>
      <w:lvlJc w:val="left"/>
      <w:pPr>
        <w:tabs>
          <w:tab w:val="num" w:pos="4320"/>
        </w:tabs>
        <w:ind w:left="4320" w:hanging="360"/>
      </w:pPr>
      <w:rPr>
        <w:rFonts w:ascii="Times New Roman" w:hAnsi="Times New Roman" w:hint="default"/>
      </w:rPr>
    </w:lvl>
    <w:lvl w:ilvl="6" w:tplc="1BEA515C" w:tentative="1">
      <w:start w:val="1"/>
      <w:numFmt w:val="bullet"/>
      <w:lvlText w:val="•"/>
      <w:lvlJc w:val="left"/>
      <w:pPr>
        <w:tabs>
          <w:tab w:val="num" w:pos="5040"/>
        </w:tabs>
        <w:ind w:left="5040" w:hanging="360"/>
      </w:pPr>
      <w:rPr>
        <w:rFonts w:ascii="Times New Roman" w:hAnsi="Times New Roman" w:hint="default"/>
      </w:rPr>
    </w:lvl>
    <w:lvl w:ilvl="7" w:tplc="AA54F9F0" w:tentative="1">
      <w:start w:val="1"/>
      <w:numFmt w:val="bullet"/>
      <w:lvlText w:val="•"/>
      <w:lvlJc w:val="left"/>
      <w:pPr>
        <w:tabs>
          <w:tab w:val="num" w:pos="5760"/>
        </w:tabs>
        <w:ind w:left="5760" w:hanging="360"/>
      </w:pPr>
      <w:rPr>
        <w:rFonts w:ascii="Times New Roman" w:hAnsi="Times New Roman" w:hint="default"/>
      </w:rPr>
    </w:lvl>
    <w:lvl w:ilvl="8" w:tplc="F6A4A1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787131"/>
    <w:multiLevelType w:val="hybridMultilevel"/>
    <w:tmpl w:val="6F823DA0"/>
    <w:lvl w:ilvl="0" w:tplc="56E863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3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16"/>
    <w:rsid w:val="00011891"/>
    <w:rsid w:val="000160BC"/>
    <w:rsid w:val="00021B04"/>
    <w:rsid w:val="0004351D"/>
    <w:rsid w:val="000572F9"/>
    <w:rsid w:val="00057F4A"/>
    <w:rsid w:val="00061DAE"/>
    <w:rsid w:val="00063261"/>
    <w:rsid w:val="0008027B"/>
    <w:rsid w:val="000816ED"/>
    <w:rsid w:val="00082947"/>
    <w:rsid w:val="00084D9A"/>
    <w:rsid w:val="00084FD8"/>
    <w:rsid w:val="000856CF"/>
    <w:rsid w:val="00085947"/>
    <w:rsid w:val="00086CFA"/>
    <w:rsid w:val="00096200"/>
    <w:rsid w:val="000A134E"/>
    <w:rsid w:val="000C451D"/>
    <w:rsid w:val="000C7077"/>
    <w:rsid w:val="000C7CE3"/>
    <w:rsid w:val="000D66F6"/>
    <w:rsid w:val="000D7670"/>
    <w:rsid w:val="000E2BF1"/>
    <w:rsid w:val="000E53B4"/>
    <w:rsid w:val="000F4223"/>
    <w:rsid w:val="000F66DD"/>
    <w:rsid w:val="00140770"/>
    <w:rsid w:val="00145F3B"/>
    <w:rsid w:val="001670F7"/>
    <w:rsid w:val="00167F66"/>
    <w:rsid w:val="001830C6"/>
    <w:rsid w:val="001870E3"/>
    <w:rsid w:val="001A7A90"/>
    <w:rsid w:val="001B43AA"/>
    <w:rsid w:val="001D113A"/>
    <w:rsid w:val="001D6EB8"/>
    <w:rsid w:val="001E55A9"/>
    <w:rsid w:val="002061BF"/>
    <w:rsid w:val="00206DF5"/>
    <w:rsid w:val="00213CEB"/>
    <w:rsid w:val="00246F03"/>
    <w:rsid w:val="0025216B"/>
    <w:rsid w:val="0026227C"/>
    <w:rsid w:val="0026394E"/>
    <w:rsid w:val="002677F8"/>
    <w:rsid w:val="0027335B"/>
    <w:rsid w:val="00275F7F"/>
    <w:rsid w:val="00282012"/>
    <w:rsid w:val="00283F24"/>
    <w:rsid w:val="0028704E"/>
    <w:rsid w:val="0029619E"/>
    <w:rsid w:val="00297470"/>
    <w:rsid w:val="002A0755"/>
    <w:rsid w:val="002A3596"/>
    <w:rsid w:val="002A4B9D"/>
    <w:rsid w:val="002B44EB"/>
    <w:rsid w:val="002B72A9"/>
    <w:rsid w:val="002D1B06"/>
    <w:rsid w:val="002D511A"/>
    <w:rsid w:val="002F0395"/>
    <w:rsid w:val="002F683F"/>
    <w:rsid w:val="00314EA2"/>
    <w:rsid w:val="003161D8"/>
    <w:rsid w:val="00320DAB"/>
    <w:rsid w:val="00333C27"/>
    <w:rsid w:val="00360F17"/>
    <w:rsid w:val="0036468C"/>
    <w:rsid w:val="00376B2B"/>
    <w:rsid w:val="00381F0E"/>
    <w:rsid w:val="00383FA8"/>
    <w:rsid w:val="003A2229"/>
    <w:rsid w:val="003A44CE"/>
    <w:rsid w:val="003A4755"/>
    <w:rsid w:val="003D3875"/>
    <w:rsid w:val="003E1AD6"/>
    <w:rsid w:val="003F219C"/>
    <w:rsid w:val="003F4088"/>
    <w:rsid w:val="004212A2"/>
    <w:rsid w:val="004238D9"/>
    <w:rsid w:val="00425499"/>
    <w:rsid w:val="00464565"/>
    <w:rsid w:val="004770D7"/>
    <w:rsid w:val="00482ABE"/>
    <w:rsid w:val="00493776"/>
    <w:rsid w:val="004B04C2"/>
    <w:rsid w:val="004B727E"/>
    <w:rsid w:val="004C3370"/>
    <w:rsid w:val="004D64AD"/>
    <w:rsid w:val="004D7970"/>
    <w:rsid w:val="004F221B"/>
    <w:rsid w:val="004F5F82"/>
    <w:rsid w:val="004F627B"/>
    <w:rsid w:val="0050391D"/>
    <w:rsid w:val="00511F52"/>
    <w:rsid w:val="00526D82"/>
    <w:rsid w:val="00540275"/>
    <w:rsid w:val="00540BCE"/>
    <w:rsid w:val="00541C8E"/>
    <w:rsid w:val="00543399"/>
    <w:rsid w:val="00546D46"/>
    <w:rsid w:val="005560E0"/>
    <w:rsid w:val="005617A2"/>
    <w:rsid w:val="00565623"/>
    <w:rsid w:val="00567F3C"/>
    <w:rsid w:val="00583C39"/>
    <w:rsid w:val="00591584"/>
    <w:rsid w:val="0059409B"/>
    <w:rsid w:val="005A08E7"/>
    <w:rsid w:val="005A10D0"/>
    <w:rsid w:val="005A3207"/>
    <w:rsid w:val="005A5723"/>
    <w:rsid w:val="005A5787"/>
    <w:rsid w:val="005A73D3"/>
    <w:rsid w:val="005B0AB0"/>
    <w:rsid w:val="005B1567"/>
    <w:rsid w:val="005B5012"/>
    <w:rsid w:val="005E7FE7"/>
    <w:rsid w:val="005F1E68"/>
    <w:rsid w:val="0060375E"/>
    <w:rsid w:val="00630096"/>
    <w:rsid w:val="00637704"/>
    <w:rsid w:val="00642FFC"/>
    <w:rsid w:val="006472FF"/>
    <w:rsid w:val="006560D6"/>
    <w:rsid w:val="00657358"/>
    <w:rsid w:val="00690916"/>
    <w:rsid w:val="006916B7"/>
    <w:rsid w:val="006C0A10"/>
    <w:rsid w:val="006C0A62"/>
    <w:rsid w:val="006C7BA5"/>
    <w:rsid w:val="006F1842"/>
    <w:rsid w:val="00706EBF"/>
    <w:rsid w:val="00720F49"/>
    <w:rsid w:val="00737E3B"/>
    <w:rsid w:val="00744F7A"/>
    <w:rsid w:val="0074500C"/>
    <w:rsid w:val="0074636C"/>
    <w:rsid w:val="00762CED"/>
    <w:rsid w:val="007673E6"/>
    <w:rsid w:val="007925FF"/>
    <w:rsid w:val="007970D0"/>
    <w:rsid w:val="00797181"/>
    <w:rsid w:val="007A41A1"/>
    <w:rsid w:val="007A5F76"/>
    <w:rsid w:val="007B72A3"/>
    <w:rsid w:val="007D42D7"/>
    <w:rsid w:val="007D5D40"/>
    <w:rsid w:val="007F2247"/>
    <w:rsid w:val="0080795E"/>
    <w:rsid w:val="00814B9B"/>
    <w:rsid w:val="008175BB"/>
    <w:rsid w:val="00820DC9"/>
    <w:rsid w:val="00827BC2"/>
    <w:rsid w:val="00846A15"/>
    <w:rsid w:val="00847137"/>
    <w:rsid w:val="00875408"/>
    <w:rsid w:val="00892152"/>
    <w:rsid w:val="00893280"/>
    <w:rsid w:val="00895318"/>
    <w:rsid w:val="008A2558"/>
    <w:rsid w:val="008A44B5"/>
    <w:rsid w:val="008B4BAB"/>
    <w:rsid w:val="008B53AE"/>
    <w:rsid w:val="008D4AAF"/>
    <w:rsid w:val="008E7C12"/>
    <w:rsid w:val="00900596"/>
    <w:rsid w:val="009045DE"/>
    <w:rsid w:val="009155EF"/>
    <w:rsid w:val="00920CA8"/>
    <w:rsid w:val="00935019"/>
    <w:rsid w:val="00943B80"/>
    <w:rsid w:val="00961936"/>
    <w:rsid w:val="0096564D"/>
    <w:rsid w:val="00965E84"/>
    <w:rsid w:val="009724D0"/>
    <w:rsid w:val="009A342F"/>
    <w:rsid w:val="009B272E"/>
    <w:rsid w:val="009B5C09"/>
    <w:rsid w:val="009D0A32"/>
    <w:rsid w:val="009D3CE4"/>
    <w:rsid w:val="009E6B6A"/>
    <w:rsid w:val="009F2D2C"/>
    <w:rsid w:val="009F396E"/>
    <w:rsid w:val="00A046D5"/>
    <w:rsid w:val="00A229F4"/>
    <w:rsid w:val="00A25E71"/>
    <w:rsid w:val="00A2608A"/>
    <w:rsid w:val="00A343B8"/>
    <w:rsid w:val="00A5117E"/>
    <w:rsid w:val="00A60F31"/>
    <w:rsid w:val="00A70E64"/>
    <w:rsid w:val="00A75A44"/>
    <w:rsid w:val="00A90403"/>
    <w:rsid w:val="00AA2F9D"/>
    <w:rsid w:val="00AA4A4A"/>
    <w:rsid w:val="00AC0F8E"/>
    <w:rsid w:val="00AC1710"/>
    <w:rsid w:val="00AC435B"/>
    <w:rsid w:val="00AD33C0"/>
    <w:rsid w:val="00AE53E5"/>
    <w:rsid w:val="00AF0078"/>
    <w:rsid w:val="00AF2BB3"/>
    <w:rsid w:val="00B04EAD"/>
    <w:rsid w:val="00B31BCF"/>
    <w:rsid w:val="00B354B4"/>
    <w:rsid w:val="00B36081"/>
    <w:rsid w:val="00B51B8C"/>
    <w:rsid w:val="00B5233F"/>
    <w:rsid w:val="00B547A3"/>
    <w:rsid w:val="00B6184A"/>
    <w:rsid w:val="00B847F7"/>
    <w:rsid w:val="00BB029C"/>
    <w:rsid w:val="00BC78EA"/>
    <w:rsid w:val="00BD10E3"/>
    <w:rsid w:val="00BD399F"/>
    <w:rsid w:val="00C14BD9"/>
    <w:rsid w:val="00C14CE0"/>
    <w:rsid w:val="00C2254D"/>
    <w:rsid w:val="00C3045E"/>
    <w:rsid w:val="00C43E8E"/>
    <w:rsid w:val="00C53F37"/>
    <w:rsid w:val="00C558DC"/>
    <w:rsid w:val="00C76BAC"/>
    <w:rsid w:val="00C944B4"/>
    <w:rsid w:val="00CA1608"/>
    <w:rsid w:val="00CB6280"/>
    <w:rsid w:val="00CE285F"/>
    <w:rsid w:val="00CF4B86"/>
    <w:rsid w:val="00CF51FC"/>
    <w:rsid w:val="00D02354"/>
    <w:rsid w:val="00D26CB3"/>
    <w:rsid w:val="00D55D12"/>
    <w:rsid w:val="00D57F6D"/>
    <w:rsid w:val="00D6083C"/>
    <w:rsid w:val="00D66BAC"/>
    <w:rsid w:val="00D74E5F"/>
    <w:rsid w:val="00DB3FE1"/>
    <w:rsid w:val="00DC006A"/>
    <w:rsid w:val="00DD2816"/>
    <w:rsid w:val="00DD2AC6"/>
    <w:rsid w:val="00DD6D76"/>
    <w:rsid w:val="00DE7FCF"/>
    <w:rsid w:val="00DF319D"/>
    <w:rsid w:val="00DF373A"/>
    <w:rsid w:val="00E0178F"/>
    <w:rsid w:val="00E043BA"/>
    <w:rsid w:val="00E14020"/>
    <w:rsid w:val="00E20BBF"/>
    <w:rsid w:val="00E248EF"/>
    <w:rsid w:val="00E42718"/>
    <w:rsid w:val="00E45EE6"/>
    <w:rsid w:val="00E467D0"/>
    <w:rsid w:val="00E845BA"/>
    <w:rsid w:val="00E902AA"/>
    <w:rsid w:val="00EA774B"/>
    <w:rsid w:val="00EB2777"/>
    <w:rsid w:val="00ED15B5"/>
    <w:rsid w:val="00EE6EA8"/>
    <w:rsid w:val="00EF488F"/>
    <w:rsid w:val="00F07CD0"/>
    <w:rsid w:val="00F2185B"/>
    <w:rsid w:val="00F33D78"/>
    <w:rsid w:val="00F646AF"/>
    <w:rsid w:val="00F67DD4"/>
    <w:rsid w:val="00F84785"/>
    <w:rsid w:val="00F90728"/>
    <w:rsid w:val="00F915EE"/>
    <w:rsid w:val="00F94F16"/>
    <w:rsid w:val="00FB39F5"/>
    <w:rsid w:val="00FE727C"/>
    <w:rsid w:val="00FF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4F16"/>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C76BAC"/>
    <w:pPr>
      <w:tabs>
        <w:tab w:val="center" w:pos="4819"/>
        <w:tab w:val="right" w:pos="9638"/>
      </w:tabs>
    </w:pPr>
  </w:style>
  <w:style w:type="paragraph" w:styleId="Debesliotekstas">
    <w:name w:val="Balloon Text"/>
    <w:basedOn w:val="prastasis"/>
    <w:link w:val="DebesliotekstasDiagrama"/>
    <w:rsid w:val="009724D0"/>
    <w:rPr>
      <w:rFonts w:ascii="Tahoma" w:hAnsi="Tahoma" w:cs="Tahoma"/>
      <w:sz w:val="16"/>
      <w:szCs w:val="16"/>
    </w:rPr>
  </w:style>
  <w:style w:type="character" w:customStyle="1" w:styleId="DebesliotekstasDiagrama">
    <w:name w:val="Debesėlio tekstas Diagrama"/>
    <w:basedOn w:val="Numatytasispastraiposriftas"/>
    <w:link w:val="Debesliotekstas"/>
    <w:rsid w:val="009724D0"/>
    <w:rPr>
      <w:rFonts w:ascii="Tahoma" w:hAnsi="Tahoma" w:cs="Tahoma"/>
      <w:sz w:val="16"/>
      <w:szCs w:val="16"/>
      <w:lang w:eastAsia="en-US"/>
    </w:rPr>
  </w:style>
  <w:style w:type="paragraph" w:styleId="Sraopastraipa">
    <w:name w:val="List Paragraph"/>
    <w:basedOn w:val="prastasis"/>
    <w:uiPriority w:val="34"/>
    <w:qFormat/>
    <w:rsid w:val="00935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4F16"/>
    <w:rPr>
      <w:sz w:val="24"/>
      <w:szCs w:val="24"/>
      <w:lang w:eastAsia="en-US"/>
    </w:rPr>
  </w:style>
  <w:style w:type="paragraph" w:styleId="Antrat1">
    <w:name w:val="heading 1"/>
    <w:basedOn w:val="prastasis"/>
    <w:next w:val="prastasis"/>
    <w:qFormat/>
    <w:rsid w:val="00F94F16"/>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F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otekstotrauka">
    <w:name w:val="Body Text Indent"/>
    <w:basedOn w:val="prastasis"/>
    <w:rsid w:val="00F94F16"/>
    <w:pPr>
      <w:ind w:firstLine="720"/>
      <w:jc w:val="both"/>
    </w:pPr>
  </w:style>
  <w:style w:type="paragraph" w:styleId="Porat">
    <w:name w:val="footer"/>
    <w:basedOn w:val="prastasis"/>
    <w:rsid w:val="00F94F16"/>
    <w:pPr>
      <w:tabs>
        <w:tab w:val="center" w:pos="4819"/>
        <w:tab w:val="right" w:pos="9638"/>
      </w:tabs>
    </w:pPr>
  </w:style>
  <w:style w:type="character" w:styleId="Puslapionumeris">
    <w:name w:val="page number"/>
    <w:basedOn w:val="Numatytasispastraiposriftas"/>
    <w:rsid w:val="00F94F16"/>
  </w:style>
  <w:style w:type="character" w:styleId="Grietas">
    <w:name w:val="Strong"/>
    <w:qFormat/>
    <w:rsid w:val="00425499"/>
    <w:rPr>
      <w:b/>
      <w:bCs/>
    </w:rPr>
  </w:style>
  <w:style w:type="paragraph" w:styleId="Pagrindinistekstas">
    <w:name w:val="Body Text"/>
    <w:basedOn w:val="prastasis"/>
    <w:rsid w:val="00BB029C"/>
    <w:pPr>
      <w:spacing w:after="120"/>
    </w:pPr>
  </w:style>
  <w:style w:type="table" w:styleId="Lentelstinklelis">
    <w:name w:val="Table Grid"/>
    <w:basedOn w:val="prastojilentel"/>
    <w:rsid w:val="004D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C76BAC"/>
    <w:pPr>
      <w:tabs>
        <w:tab w:val="center" w:pos="4819"/>
        <w:tab w:val="right" w:pos="9638"/>
      </w:tabs>
    </w:pPr>
  </w:style>
  <w:style w:type="paragraph" w:styleId="Debesliotekstas">
    <w:name w:val="Balloon Text"/>
    <w:basedOn w:val="prastasis"/>
    <w:link w:val="DebesliotekstasDiagrama"/>
    <w:rsid w:val="009724D0"/>
    <w:rPr>
      <w:rFonts w:ascii="Tahoma" w:hAnsi="Tahoma" w:cs="Tahoma"/>
      <w:sz w:val="16"/>
      <w:szCs w:val="16"/>
    </w:rPr>
  </w:style>
  <w:style w:type="character" w:customStyle="1" w:styleId="DebesliotekstasDiagrama">
    <w:name w:val="Debesėlio tekstas Diagrama"/>
    <w:basedOn w:val="Numatytasispastraiposriftas"/>
    <w:link w:val="Debesliotekstas"/>
    <w:rsid w:val="009724D0"/>
    <w:rPr>
      <w:rFonts w:ascii="Tahoma" w:hAnsi="Tahoma" w:cs="Tahoma"/>
      <w:sz w:val="16"/>
      <w:szCs w:val="16"/>
      <w:lang w:eastAsia="en-US"/>
    </w:rPr>
  </w:style>
  <w:style w:type="paragraph" w:styleId="Sraopastraipa">
    <w:name w:val="List Paragraph"/>
    <w:basedOn w:val="prastasis"/>
    <w:uiPriority w:val="34"/>
    <w:qFormat/>
    <w:rsid w:val="0093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049">
      <w:bodyDiv w:val="1"/>
      <w:marLeft w:val="0"/>
      <w:marRight w:val="0"/>
      <w:marTop w:val="0"/>
      <w:marBottom w:val="0"/>
      <w:divBdr>
        <w:top w:val="none" w:sz="0" w:space="0" w:color="auto"/>
        <w:left w:val="none" w:sz="0" w:space="0" w:color="auto"/>
        <w:bottom w:val="none" w:sz="0" w:space="0" w:color="auto"/>
        <w:right w:val="none" w:sz="0" w:space="0" w:color="auto"/>
      </w:divBdr>
      <w:divsChild>
        <w:div w:id="2106806027">
          <w:marLeft w:val="0"/>
          <w:marRight w:val="0"/>
          <w:marTop w:val="0"/>
          <w:marBottom w:val="0"/>
          <w:divBdr>
            <w:top w:val="none" w:sz="0" w:space="0" w:color="auto"/>
            <w:left w:val="none" w:sz="0" w:space="0" w:color="auto"/>
            <w:bottom w:val="none" w:sz="0" w:space="0" w:color="auto"/>
            <w:right w:val="none" w:sz="0" w:space="0" w:color="auto"/>
          </w:divBdr>
        </w:div>
      </w:divsChild>
    </w:div>
    <w:div w:id="931083682">
      <w:bodyDiv w:val="1"/>
      <w:marLeft w:val="0"/>
      <w:marRight w:val="0"/>
      <w:marTop w:val="0"/>
      <w:marBottom w:val="0"/>
      <w:divBdr>
        <w:top w:val="none" w:sz="0" w:space="0" w:color="auto"/>
        <w:left w:val="none" w:sz="0" w:space="0" w:color="auto"/>
        <w:bottom w:val="none" w:sz="0" w:space="0" w:color="auto"/>
        <w:right w:val="none" w:sz="0" w:space="0" w:color="auto"/>
      </w:divBdr>
      <w:divsChild>
        <w:div w:id="1726175540">
          <w:marLeft w:val="0"/>
          <w:marRight w:val="0"/>
          <w:marTop w:val="0"/>
          <w:marBottom w:val="0"/>
          <w:divBdr>
            <w:top w:val="none" w:sz="0" w:space="0" w:color="auto"/>
            <w:left w:val="none" w:sz="0" w:space="0" w:color="auto"/>
            <w:bottom w:val="none" w:sz="0" w:space="0" w:color="auto"/>
            <w:right w:val="none" w:sz="0" w:space="0" w:color="auto"/>
          </w:divBdr>
          <w:divsChild>
            <w:div w:id="1623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GLUOSNIS\Kmsa\Strateginio%20planavimo%20skyrius\KSP%20monitoringai\2013%20KSP%20monitoringas\Rodikliu%20grafikai.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Lapas1!$B$2</c:f>
              <c:strCache>
                <c:ptCount val="1"/>
                <c:pt idx="0">
                  <c:v>tūkst. Lt.</c:v>
                </c:pt>
              </c:strCache>
            </c:strRef>
          </c:tx>
          <c:invertIfNegative val="0"/>
          <c:dLbls>
            <c:showLegendKey val="0"/>
            <c:showVal val="1"/>
            <c:showCatName val="0"/>
            <c:showSerName val="0"/>
            <c:showPercent val="0"/>
            <c:showBubbleSize val="0"/>
            <c:showLeaderLines val="0"/>
          </c:dLbls>
          <c:cat>
            <c:strRef>
              <c:f>Lapas1!$A$3:$A$8</c:f>
              <c:strCache>
                <c:ptCount val="6"/>
                <c:pt idx="0">
                  <c:v>Lietuvos Respublika</c:v>
                </c:pt>
                <c:pt idx="1">
                  <c:v>Vilniaus m. sav.</c:v>
                </c:pt>
                <c:pt idx="2">
                  <c:v>Kauno m. sav.</c:v>
                </c:pt>
                <c:pt idx="3">
                  <c:v>Klaipėdos m. sav.</c:v>
                </c:pt>
                <c:pt idx="4">
                  <c:v>Šiaulių m. sav.</c:v>
                </c:pt>
                <c:pt idx="5">
                  <c:v>Panevėžio m. sav.</c:v>
                </c:pt>
              </c:strCache>
            </c:strRef>
          </c:cat>
          <c:val>
            <c:numRef>
              <c:f>Lapas1!$B$3:$B$8</c:f>
              <c:numCache>
                <c:formatCode>General</c:formatCode>
                <c:ptCount val="6"/>
                <c:pt idx="0">
                  <c:v>14532</c:v>
                </c:pt>
                <c:pt idx="1">
                  <c:v>48226</c:v>
                </c:pt>
                <c:pt idx="2">
                  <c:v>13207</c:v>
                </c:pt>
                <c:pt idx="3">
                  <c:v>15593</c:v>
                </c:pt>
                <c:pt idx="4">
                  <c:v>2420</c:v>
                </c:pt>
                <c:pt idx="5">
                  <c:v>7822</c:v>
                </c:pt>
              </c:numCache>
            </c:numRef>
          </c:val>
        </c:ser>
        <c:dLbls>
          <c:showLegendKey val="0"/>
          <c:showVal val="0"/>
          <c:showCatName val="0"/>
          <c:showSerName val="0"/>
          <c:showPercent val="0"/>
          <c:showBubbleSize val="0"/>
        </c:dLbls>
        <c:gapWidth val="150"/>
        <c:shape val="cylinder"/>
        <c:axId val="178329472"/>
        <c:axId val="178331008"/>
        <c:axId val="0"/>
      </c:bar3DChart>
      <c:catAx>
        <c:axId val="178329472"/>
        <c:scaling>
          <c:orientation val="minMax"/>
        </c:scaling>
        <c:delete val="0"/>
        <c:axPos val="b"/>
        <c:majorTickMark val="out"/>
        <c:minorTickMark val="none"/>
        <c:tickLblPos val="nextTo"/>
        <c:crossAx val="178331008"/>
        <c:crosses val="autoZero"/>
        <c:auto val="1"/>
        <c:lblAlgn val="ctr"/>
        <c:lblOffset val="100"/>
        <c:noMultiLvlLbl val="0"/>
      </c:catAx>
      <c:valAx>
        <c:axId val="178331008"/>
        <c:scaling>
          <c:orientation val="minMax"/>
        </c:scaling>
        <c:delete val="0"/>
        <c:axPos val="l"/>
        <c:majorGridlines/>
        <c:numFmt formatCode="General" sourceLinked="1"/>
        <c:majorTickMark val="out"/>
        <c:minorTickMark val="none"/>
        <c:tickLblPos val="nextTo"/>
        <c:crossAx val="1783294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Lapas1!$B$25</c:f>
              <c:strCache>
                <c:ptCount val="1"/>
                <c:pt idx="0">
                  <c:v>Lt</c:v>
                </c:pt>
              </c:strCache>
            </c:strRef>
          </c:tx>
          <c:invertIfNegative val="0"/>
          <c:dLbls>
            <c:showLegendKey val="0"/>
            <c:showVal val="1"/>
            <c:showCatName val="0"/>
            <c:showSerName val="0"/>
            <c:showPercent val="0"/>
            <c:showBubbleSize val="0"/>
            <c:showLeaderLines val="0"/>
          </c:dLbls>
          <c:cat>
            <c:strRef>
              <c:f>Lapas1!$A$26:$A$31</c:f>
              <c:strCache>
                <c:ptCount val="6"/>
                <c:pt idx="0">
                  <c:v>Lietuvos Respublika</c:v>
                </c:pt>
                <c:pt idx="1">
                  <c:v>Vilniaus m. sav.</c:v>
                </c:pt>
                <c:pt idx="2">
                  <c:v>Kauno m. sav.</c:v>
                </c:pt>
                <c:pt idx="3">
                  <c:v>Klaipėdos m. sav.</c:v>
                </c:pt>
                <c:pt idx="4">
                  <c:v>Šiaulių m. sav.</c:v>
                </c:pt>
                <c:pt idx="5">
                  <c:v>Panevėžio m. sav.</c:v>
                </c:pt>
              </c:strCache>
            </c:strRef>
          </c:cat>
          <c:val>
            <c:numRef>
              <c:f>Lapas1!$B$26:$B$31</c:f>
              <c:numCache>
                <c:formatCode>General</c:formatCode>
                <c:ptCount val="6"/>
                <c:pt idx="0">
                  <c:v>2340.1999999999998</c:v>
                </c:pt>
                <c:pt idx="1">
                  <c:v>2684.1</c:v>
                </c:pt>
                <c:pt idx="2">
                  <c:v>2314.6</c:v>
                </c:pt>
                <c:pt idx="3">
                  <c:v>2486.3000000000002</c:v>
                </c:pt>
                <c:pt idx="4">
                  <c:v>2072.1</c:v>
                </c:pt>
                <c:pt idx="5">
                  <c:v>2223.5</c:v>
                </c:pt>
              </c:numCache>
            </c:numRef>
          </c:val>
        </c:ser>
        <c:dLbls>
          <c:showLegendKey val="0"/>
          <c:showVal val="0"/>
          <c:showCatName val="0"/>
          <c:showSerName val="0"/>
          <c:showPercent val="0"/>
          <c:showBubbleSize val="0"/>
        </c:dLbls>
        <c:gapWidth val="150"/>
        <c:shape val="cylinder"/>
        <c:axId val="116184576"/>
        <c:axId val="116186112"/>
        <c:axId val="0"/>
      </c:bar3DChart>
      <c:catAx>
        <c:axId val="116184576"/>
        <c:scaling>
          <c:orientation val="minMax"/>
        </c:scaling>
        <c:delete val="0"/>
        <c:axPos val="b"/>
        <c:majorTickMark val="out"/>
        <c:minorTickMark val="none"/>
        <c:tickLblPos val="nextTo"/>
        <c:crossAx val="116186112"/>
        <c:crosses val="autoZero"/>
        <c:auto val="1"/>
        <c:lblAlgn val="ctr"/>
        <c:lblOffset val="100"/>
        <c:noMultiLvlLbl val="0"/>
      </c:catAx>
      <c:valAx>
        <c:axId val="116186112"/>
        <c:scaling>
          <c:orientation val="minMax"/>
        </c:scaling>
        <c:delete val="0"/>
        <c:axPos val="l"/>
        <c:majorGridlines/>
        <c:numFmt formatCode="General" sourceLinked="1"/>
        <c:majorTickMark val="out"/>
        <c:minorTickMark val="none"/>
        <c:tickLblPos val="nextTo"/>
        <c:crossAx val="1161845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Lapas1!$B$13</c:f>
              <c:strCache>
                <c:ptCount val="1"/>
                <c:pt idx="0">
                  <c:v>proc.</c:v>
                </c:pt>
              </c:strCache>
            </c:strRef>
          </c:tx>
          <c:invertIfNegative val="0"/>
          <c:dLbls>
            <c:showLegendKey val="0"/>
            <c:showVal val="1"/>
            <c:showCatName val="0"/>
            <c:showSerName val="0"/>
            <c:showPercent val="0"/>
            <c:showBubbleSize val="0"/>
            <c:showLeaderLines val="0"/>
          </c:dLbls>
          <c:cat>
            <c:strRef>
              <c:f>Lapas1!$A$14:$A$19</c:f>
              <c:strCache>
                <c:ptCount val="6"/>
                <c:pt idx="0">
                  <c:v>Lietuvos Respublika</c:v>
                </c:pt>
                <c:pt idx="1">
                  <c:v>Vilniaus m. sav.</c:v>
                </c:pt>
                <c:pt idx="2">
                  <c:v>Kauno m. sav.</c:v>
                </c:pt>
                <c:pt idx="3">
                  <c:v>Klaipėdos m. sav.</c:v>
                </c:pt>
                <c:pt idx="4">
                  <c:v>Šiaulių m. sav.</c:v>
                </c:pt>
                <c:pt idx="5">
                  <c:v>Panevėžio m. sav.</c:v>
                </c:pt>
              </c:strCache>
            </c:strRef>
          </c:cat>
          <c:val>
            <c:numRef>
              <c:f>Lapas1!$B$14:$B$19</c:f>
              <c:numCache>
                <c:formatCode>General</c:formatCode>
                <c:ptCount val="6"/>
                <c:pt idx="0">
                  <c:v>10.9</c:v>
                </c:pt>
                <c:pt idx="1">
                  <c:v>8.1</c:v>
                </c:pt>
                <c:pt idx="2">
                  <c:v>9.6</c:v>
                </c:pt>
                <c:pt idx="3">
                  <c:v>8.4</c:v>
                </c:pt>
                <c:pt idx="4">
                  <c:v>8.1</c:v>
                </c:pt>
                <c:pt idx="5">
                  <c:v>11.1</c:v>
                </c:pt>
              </c:numCache>
            </c:numRef>
          </c:val>
        </c:ser>
        <c:dLbls>
          <c:showLegendKey val="0"/>
          <c:showVal val="0"/>
          <c:showCatName val="0"/>
          <c:showSerName val="0"/>
          <c:showPercent val="0"/>
          <c:showBubbleSize val="0"/>
        </c:dLbls>
        <c:gapWidth val="150"/>
        <c:shape val="cylinder"/>
        <c:axId val="128662912"/>
        <c:axId val="128681088"/>
        <c:axId val="0"/>
      </c:bar3DChart>
      <c:catAx>
        <c:axId val="128662912"/>
        <c:scaling>
          <c:orientation val="minMax"/>
        </c:scaling>
        <c:delete val="0"/>
        <c:axPos val="b"/>
        <c:majorTickMark val="out"/>
        <c:minorTickMark val="none"/>
        <c:tickLblPos val="nextTo"/>
        <c:crossAx val="128681088"/>
        <c:crosses val="autoZero"/>
        <c:auto val="1"/>
        <c:lblAlgn val="ctr"/>
        <c:lblOffset val="100"/>
        <c:noMultiLvlLbl val="0"/>
      </c:catAx>
      <c:valAx>
        <c:axId val="128681088"/>
        <c:scaling>
          <c:orientation val="minMax"/>
        </c:scaling>
        <c:delete val="0"/>
        <c:axPos val="l"/>
        <c:majorGridlines/>
        <c:numFmt formatCode="General" sourceLinked="1"/>
        <c:majorTickMark val="out"/>
        <c:minorTickMark val="none"/>
        <c:tickLblPos val="nextTo"/>
        <c:crossAx val="12866291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Lapas1!$B$38</c:f>
              <c:strCache>
                <c:ptCount val="1"/>
                <c:pt idx="0">
                  <c:v>proc.</c:v>
                </c:pt>
              </c:strCache>
            </c:strRef>
          </c:tx>
          <c:dLbls>
            <c:showLegendKey val="0"/>
            <c:showVal val="1"/>
            <c:showCatName val="0"/>
            <c:showSerName val="0"/>
            <c:showPercent val="0"/>
            <c:showBubbleSize val="0"/>
            <c:showLeaderLines val="0"/>
          </c:dLbls>
          <c:cat>
            <c:strRef>
              <c:f>Lapas1!$A$39:$A$44</c:f>
              <c:strCache>
                <c:ptCount val="6"/>
                <c:pt idx="0">
                  <c:v>Lietuvos Respublika</c:v>
                </c:pt>
                <c:pt idx="1">
                  <c:v>Vilniaus m. sav.</c:v>
                </c:pt>
                <c:pt idx="2">
                  <c:v>Kauno m. sav.</c:v>
                </c:pt>
                <c:pt idx="3">
                  <c:v>Klaipėdos m. sav.</c:v>
                </c:pt>
                <c:pt idx="4">
                  <c:v>Šiaulių m. sav.</c:v>
                </c:pt>
                <c:pt idx="5">
                  <c:v>Panevėžio m. sav.</c:v>
                </c:pt>
              </c:strCache>
            </c:strRef>
          </c:cat>
          <c:val>
            <c:numRef>
              <c:f>Lapas1!$B$39:$B$44</c:f>
              <c:numCache>
                <c:formatCode>General</c:formatCode>
                <c:ptCount val="6"/>
                <c:pt idx="0">
                  <c:v>-1</c:v>
                </c:pt>
                <c:pt idx="1">
                  <c:v>0.6</c:v>
                </c:pt>
                <c:pt idx="2">
                  <c:v>-1.1000000000000001</c:v>
                </c:pt>
                <c:pt idx="3">
                  <c:v>-0.9</c:v>
                </c:pt>
                <c:pt idx="4">
                  <c:v>-1</c:v>
                </c:pt>
                <c:pt idx="5">
                  <c:v>-1.1000000000000001</c:v>
                </c:pt>
              </c:numCache>
            </c:numRef>
          </c:val>
          <c:smooth val="0"/>
        </c:ser>
        <c:dLbls>
          <c:showLegendKey val="0"/>
          <c:showVal val="0"/>
          <c:showCatName val="0"/>
          <c:showSerName val="0"/>
          <c:showPercent val="0"/>
          <c:showBubbleSize val="0"/>
        </c:dLbls>
        <c:marker val="1"/>
        <c:smooth val="0"/>
        <c:axId val="116302976"/>
        <c:axId val="116304512"/>
      </c:lineChart>
      <c:catAx>
        <c:axId val="116302976"/>
        <c:scaling>
          <c:orientation val="minMax"/>
        </c:scaling>
        <c:delete val="0"/>
        <c:axPos val="b"/>
        <c:majorTickMark val="out"/>
        <c:minorTickMark val="none"/>
        <c:tickLblPos val="nextTo"/>
        <c:crossAx val="116304512"/>
        <c:crosses val="autoZero"/>
        <c:auto val="1"/>
        <c:lblAlgn val="ctr"/>
        <c:lblOffset val="100"/>
        <c:noMultiLvlLbl val="0"/>
      </c:catAx>
      <c:valAx>
        <c:axId val="116304512"/>
        <c:scaling>
          <c:orientation val="minMax"/>
        </c:scaling>
        <c:delete val="0"/>
        <c:axPos val="l"/>
        <c:majorGridlines/>
        <c:numFmt formatCode="General" sourceLinked="1"/>
        <c:majorTickMark val="out"/>
        <c:minorTickMark val="none"/>
        <c:tickLblPos val="nextTo"/>
        <c:crossAx val="1163029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Lapas1!$B$51</c:f>
              <c:strCache>
                <c:ptCount val="1"/>
                <c:pt idx="0">
                  <c:v>proc.</c:v>
                </c:pt>
              </c:strCache>
            </c:strRef>
          </c:tx>
          <c:dLbls>
            <c:showLegendKey val="0"/>
            <c:showVal val="1"/>
            <c:showCatName val="0"/>
            <c:showSerName val="0"/>
            <c:showPercent val="0"/>
            <c:showBubbleSize val="0"/>
            <c:showLeaderLines val="0"/>
          </c:dLbls>
          <c:cat>
            <c:strRef>
              <c:f>Lapas1!$A$52:$A$57</c:f>
              <c:strCache>
                <c:ptCount val="6"/>
                <c:pt idx="0">
                  <c:v>Klaipėdos m. sav.</c:v>
                </c:pt>
                <c:pt idx="1">
                  <c:v>Klaipėdos r. sav.</c:v>
                </c:pt>
                <c:pt idx="2">
                  <c:v>Neringos sav.</c:v>
                </c:pt>
                <c:pt idx="3">
                  <c:v>Kretingos r. sav.</c:v>
                </c:pt>
                <c:pt idx="4">
                  <c:v>Šilutės r. sav.</c:v>
                </c:pt>
                <c:pt idx="5">
                  <c:v>Palangos m. sav. </c:v>
                </c:pt>
              </c:strCache>
            </c:strRef>
          </c:cat>
          <c:val>
            <c:numRef>
              <c:f>Lapas1!$B$52:$B$57</c:f>
              <c:numCache>
                <c:formatCode>General</c:formatCode>
                <c:ptCount val="6"/>
                <c:pt idx="0">
                  <c:v>-0.9</c:v>
                </c:pt>
                <c:pt idx="1">
                  <c:v>0.7</c:v>
                </c:pt>
                <c:pt idx="2">
                  <c:v>2.1</c:v>
                </c:pt>
                <c:pt idx="3">
                  <c:v>-0.9</c:v>
                </c:pt>
                <c:pt idx="4">
                  <c:v>-1.8</c:v>
                </c:pt>
                <c:pt idx="5">
                  <c:v>-0.5</c:v>
                </c:pt>
              </c:numCache>
            </c:numRef>
          </c:val>
          <c:smooth val="0"/>
        </c:ser>
        <c:dLbls>
          <c:showLegendKey val="0"/>
          <c:showVal val="0"/>
          <c:showCatName val="0"/>
          <c:showSerName val="0"/>
          <c:showPercent val="0"/>
          <c:showBubbleSize val="0"/>
        </c:dLbls>
        <c:marker val="1"/>
        <c:smooth val="0"/>
        <c:axId val="134912640"/>
        <c:axId val="134893952"/>
      </c:lineChart>
      <c:catAx>
        <c:axId val="134912640"/>
        <c:scaling>
          <c:orientation val="minMax"/>
        </c:scaling>
        <c:delete val="0"/>
        <c:axPos val="b"/>
        <c:majorTickMark val="out"/>
        <c:minorTickMark val="none"/>
        <c:tickLblPos val="nextTo"/>
        <c:crossAx val="134893952"/>
        <c:crosses val="autoZero"/>
        <c:auto val="1"/>
        <c:lblAlgn val="ctr"/>
        <c:lblOffset val="100"/>
        <c:noMultiLvlLbl val="0"/>
      </c:catAx>
      <c:valAx>
        <c:axId val="134893952"/>
        <c:scaling>
          <c:orientation val="minMax"/>
        </c:scaling>
        <c:delete val="0"/>
        <c:axPos val="l"/>
        <c:majorGridlines/>
        <c:numFmt formatCode="General" sourceLinked="1"/>
        <c:majorTickMark val="out"/>
        <c:minorTickMark val="none"/>
        <c:tickLblPos val="nextTo"/>
        <c:crossAx val="1349126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138451443569556E-2"/>
          <c:y val="2.6785714285714284E-2"/>
          <c:w val="0.68010717410323718"/>
          <c:h val="0.90674603174603174"/>
        </c:manualLayout>
      </c:layout>
      <c:pie3DChart>
        <c:varyColors val="1"/>
        <c:ser>
          <c:idx val="0"/>
          <c:order val="0"/>
          <c:tx>
            <c:strRef>
              <c:f>Lapas1!$B$1</c:f>
              <c:strCache>
                <c:ptCount val="1"/>
                <c:pt idx="0">
                  <c:v>Pardavimas</c:v>
                </c:pt>
              </c:strCache>
            </c:strRef>
          </c:tx>
          <c:spPr>
            <a:solidFill>
              <a:schemeClr val="bg1"/>
            </a:solidFill>
          </c:spPr>
          <c:explosion val="25"/>
          <c:dPt>
            <c:idx val="0"/>
            <c:bubble3D val="0"/>
            <c:spPr>
              <a:solidFill>
                <a:srgbClr val="CCFFCC"/>
              </a:solidFill>
              <a:ln>
                <a:solidFill>
                  <a:schemeClr val="tx1"/>
                </a:solidFill>
              </a:ln>
            </c:spPr>
          </c:dPt>
          <c:dPt>
            <c:idx val="1"/>
            <c:bubble3D val="0"/>
            <c:spPr>
              <a:solidFill>
                <a:schemeClr val="bg1"/>
              </a:solidFill>
              <a:ln>
                <a:solidFill>
                  <a:schemeClr val="tx1"/>
                </a:solidFill>
              </a:ln>
            </c:spPr>
          </c:dPt>
          <c:dPt>
            <c:idx val="2"/>
            <c:bubble3D val="0"/>
            <c:spPr>
              <a:solidFill>
                <a:srgbClr val="FFCCFF"/>
              </a:solidFill>
              <a:ln>
                <a:solidFill>
                  <a:schemeClr val="tx1"/>
                </a:solidFill>
              </a:ln>
            </c:spPr>
          </c:dPt>
          <c:dLbls>
            <c:dLbl>
              <c:idx val="0"/>
              <c:layout>
                <c:manualLayout>
                  <c:x val="9.7527704870224552E-2"/>
                  <c:y val="4.1604174478190228E-3"/>
                </c:manualLayout>
              </c:layout>
              <c:showLegendKey val="0"/>
              <c:showVal val="0"/>
              <c:showCatName val="0"/>
              <c:showSerName val="0"/>
              <c:showPercent val="1"/>
              <c:showBubbleSize val="0"/>
            </c:dLbl>
            <c:dLbl>
              <c:idx val="1"/>
              <c:layout>
                <c:manualLayout>
                  <c:x val="2.1030548264800233E-2"/>
                  <c:y val="7.5100612423447066E-2"/>
                </c:manualLayout>
              </c:layout>
              <c:tx>
                <c:rich>
                  <a:bodyPr/>
                  <a:lstStyle/>
                  <a:p>
                    <a:r>
                      <a:rPr lang="en-US"/>
                      <a:t>7</a:t>
                    </a:r>
                    <a:r>
                      <a:rPr lang="lt-LT"/>
                      <a:t>7</a:t>
                    </a:r>
                    <a:r>
                      <a:rPr lang="en-US"/>
                      <a:t>%</a:t>
                    </a:r>
                  </a:p>
                </c:rich>
              </c:tx>
              <c:showLegendKey val="0"/>
              <c:showVal val="0"/>
              <c:showCatName val="0"/>
              <c:showSerName val="0"/>
              <c:showPercent val="1"/>
              <c:showBubbleSize val="0"/>
            </c:dLbl>
            <c:dLbl>
              <c:idx val="2"/>
              <c:layout>
                <c:manualLayout>
                  <c:x val="-7.0071267133275009E-2"/>
                  <c:y val="-4.8712660917385329E-4"/>
                </c:manualLayout>
              </c:layout>
              <c:showLegendKey val="0"/>
              <c:showVal val="0"/>
              <c:showCatName val="0"/>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0"/>
            <c:showCatName val="0"/>
            <c:showSerName val="0"/>
            <c:showPercent val="1"/>
            <c:showBubbleSize val="0"/>
            <c:showLeaderLines val="1"/>
          </c:dLbls>
          <c:cat>
            <c:strRef>
              <c:f>Lapas1!$A$2:$A$4</c:f>
              <c:strCache>
                <c:ptCount val="3"/>
                <c:pt idx="0">
                  <c:v>Įgyvendinta priemonių</c:v>
                </c:pt>
                <c:pt idx="1">
                  <c:v>Vykdoma priemonių</c:v>
                </c:pt>
                <c:pt idx="2">
                  <c:v>Nevykdoma priemonių</c:v>
                </c:pt>
              </c:strCache>
            </c:strRef>
          </c:cat>
          <c:val>
            <c:numRef>
              <c:f>Lapas1!$B$2:$B$4</c:f>
              <c:numCache>
                <c:formatCode>General</c:formatCode>
                <c:ptCount val="3"/>
                <c:pt idx="0">
                  <c:v>2</c:v>
                </c:pt>
                <c:pt idx="1">
                  <c:v>77</c:v>
                </c:pt>
                <c:pt idx="2">
                  <c:v>22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8800</Words>
  <Characters>5017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S.Kacerauskaite</dc:creator>
  <cp:lastModifiedBy>Virginija Palaimiene</cp:lastModifiedBy>
  <cp:revision>2</cp:revision>
  <cp:lastPrinted>2014-05-27T11:47:00Z</cp:lastPrinted>
  <dcterms:created xsi:type="dcterms:W3CDTF">2014-07-08T08:06:00Z</dcterms:created>
  <dcterms:modified xsi:type="dcterms:W3CDTF">2014-07-08T08:06:00Z</dcterms:modified>
</cp:coreProperties>
</file>