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163473" w:rsidRPr="003C09F9" w:rsidRDefault="00163473" w:rsidP="00B520E4">
      <w:pPr>
        <w:pStyle w:val="Pagrindinistekstas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BDA" w:rsidRDefault="00987EDC" w:rsidP="00F41647">
            <w:pPr>
              <w:rPr>
                <w:szCs w:val="24"/>
              </w:rPr>
            </w:pPr>
            <w:r>
              <w:rPr>
                <w:szCs w:val="24"/>
              </w:rPr>
              <w:t>Savivaldybės merui</w:t>
            </w:r>
          </w:p>
          <w:p w:rsidR="00237522" w:rsidRDefault="00987EDC" w:rsidP="00F41647">
            <w:pPr>
              <w:rPr>
                <w:szCs w:val="24"/>
              </w:rPr>
            </w:pPr>
            <w:r>
              <w:rPr>
                <w:szCs w:val="24"/>
              </w:rPr>
              <w:t>Vytauto Grubliauskui</w:t>
            </w: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2014-07-24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ED1DA5" w:rsidP="00DB0811"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TAS-94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520E4">
            <w:pPr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Default="00606132" w:rsidP="000944B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987EDC">
              <w:rPr>
                <w:b/>
                <w:szCs w:val="24"/>
              </w:rPr>
              <w:t xml:space="preserve"> SAVIVALDYBĖS TARYBOS KOMITETŲ PASTABŲ</w:t>
            </w:r>
          </w:p>
          <w:p w:rsidR="00987EDC" w:rsidRDefault="00987EDC" w:rsidP="000944BF">
            <w:pPr>
              <w:rPr>
                <w:b/>
                <w:szCs w:val="24"/>
              </w:rPr>
            </w:pPr>
          </w:p>
          <w:p w:rsidR="00987EDC" w:rsidRDefault="00987EDC" w:rsidP="00987EDC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987EDC">
              <w:rPr>
                <w:szCs w:val="24"/>
              </w:rPr>
              <w:t>Svarstant savivaldybės tarybos sprendimo projektą</w:t>
            </w:r>
            <w:r w:rsidR="00792D54">
              <w:rPr>
                <w:szCs w:val="24"/>
              </w:rPr>
              <w:t xml:space="preserve"> Nr. T1-166</w:t>
            </w:r>
            <w:r w:rsidRPr="00987EDC">
              <w:rPr>
                <w:szCs w:val="24"/>
              </w:rPr>
              <w:t xml:space="preserve"> „Dėl Klaipėdos </w:t>
            </w:r>
            <w:r w:rsidRPr="00987EDC">
              <w:rPr>
                <w:bCs/>
                <w:szCs w:val="24"/>
              </w:rPr>
              <w:t xml:space="preserve">miesto savivaldybės tarybos </w:t>
            </w:r>
            <w:r w:rsidRPr="00987EDC">
              <w:rPr>
                <w:szCs w:val="24"/>
              </w:rPr>
              <w:t xml:space="preserve">2014 m. sausio 30 d. sprendimo Nr. T2-16 </w:t>
            </w:r>
            <w:r w:rsidRPr="00987EDC">
              <w:rPr>
                <w:bCs/>
                <w:szCs w:val="24"/>
              </w:rPr>
              <w:t>„Dėl Klaipėdos miesto savivaldybės 2014–2016 metų strateginio veiklos plano patvirtinimo“ pakeitimo“, dviejuose komitetuose buvo išsakyti prašymai koreguoti pateikto sprendimo projekto priedus.</w:t>
            </w:r>
          </w:p>
          <w:p w:rsidR="005D4C3E" w:rsidRDefault="00987EDC" w:rsidP="00987EDC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 xml:space="preserve">          </w:t>
            </w:r>
            <w:r w:rsidRPr="00987EDC">
              <w:rPr>
                <w:szCs w:val="24"/>
              </w:rPr>
              <w:t xml:space="preserve">Ugdymo ir jaunimo reikalų komitetas </w:t>
            </w:r>
            <w:r w:rsidR="005D4C3E">
              <w:rPr>
                <w:szCs w:val="24"/>
              </w:rPr>
              <w:t>pritarė sprendimo projektui su pastaba</w:t>
            </w:r>
            <w:r>
              <w:rPr>
                <w:szCs w:val="24"/>
              </w:rPr>
              <w:t>:</w:t>
            </w:r>
            <w:r w:rsidRPr="00987EDC">
              <w:rPr>
                <w:szCs w:val="24"/>
              </w:rPr>
              <w:t xml:space="preserve"> </w:t>
            </w:r>
            <w:r w:rsidRPr="00987EDC">
              <w:rPr>
                <w:rFonts w:eastAsiaTheme="minorHAnsi"/>
                <w:szCs w:val="24"/>
                <w:lang w:eastAsia="en-US"/>
              </w:rPr>
              <w:t>Kūno kultūros ir sporto plėtros programoje (Nr. 11) priemonei  010403 „Prioritetinių sporto šakų didelio sportinio meistriškumo klubų veiklos dalinis finansavimas“  vykdyti nepanaudotus 30 tūkst. Lt  savivaldybės biudžeto asignavimų paskirstyti taip:  priemonei 010204 „Pasirenkamojo vaikų ugdymo programų finansavimas iš sportininko krepšelio lėšų“ papildomai numatyti  13,6 tūkst. Lt, o priemonei 010201 „Sąlygų ugdytis biudžetinėse sporto įstaigose sudarymas“ (BĮ Klaipėdos miesto lengvosios atletikos mokyklai) papildomai numatyti 16,4 tūkst. Lt.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53525C">
              <w:rPr>
                <w:rFonts w:eastAsiaTheme="minorHAnsi"/>
                <w:szCs w:val="24"/>
                <w:lang w:eastAsia="en-US"/>
              </w:rPr>
              <w:t>Savivaldybės administracijos nuomone, atsižvelgti į Ugdymo ir jaunimo reikalų komiteto pastabą yra tikslinga.</w:t>
            </w:r>
          </w:p>
          <w:p w:rsidR="00987EDC" w:rsidRPr="0053525C" w:rsidRDefault="0053525C" w:rsidP="00987EDC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    </w:t>
            </w:r>
            <w:r w:rsidR="005D4C3E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987EDC">
              <w:rPr>
                <w:rFonts w:eastAsiaTheme="minorHAnsi"/>
                <w:szCs w:val="24"/>
                <w:lang w:eastAsia="en-US"/>
              </w:rPr>
              <w:t>Finansų ir ekonomikos komitetas</w:t>
            </w:r>
            <w:r w:rsidR="005D4C3E">
              <w:rPr>
                <w:rFonts w:eastAsiaTheme="minorHAnsi"/>
                <w:szCs w:val="24"/>
                <w:lang w:eastAsia="en-US"/>
              </w:rPr>
              <w:t xml:space="preserve"> pritarė sprendimo projektui su pastaba:</w:t>
            </w:r>
            <w:r w:rsidR="00B520E4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53525C">
              <w:rPr>
                <w:szCs w:val="24"/>
              </w:rPr>
              <w:t>iki Tarybos posėdžio pradžios  pakoreguoti Klaipėdos miesto savivaldybės tarybos 2014 m. sausio 30 d. sprendimą Nr. T2-16 „Dėl Klaipėdos miesto savivaldybės 2014-2016 metų strateginio veiklos plano patvirtinimo“, išsprendžiant Kultūros fabriko statybos finansavimo klausimą.</w:t>
            </w:r>
          </w:p>
          <w:p w:rsidR="00B520E4" w:rsidRDefault="00792D54" w:rsidP="00987EDC">
            <w:pPr>
              <w:jc w:val="both"/>
              <w:rPr>
                <w:rFonts w:eastAsia="Batang"/>
                <w:szCs w:val="24"/>
                <w:lang w:eastAsia="ko-KR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       Savivaldybės administracijos nuomone, atsižvelgti į Finansų </w:t>
            </w:r>
            <w:r w:rsidR="00B520E4">
              <w:rPr>
                <w:rFonts w:eastAsiaTheme="minorHAnsi"/>
                <w:szCs w:val="24"/>
                <w:lang w:eastAsia="en-US"/>
              </w:rPr>
              <w:t xml:space="preserve">ir ekonomikos </w:t>
            </w:r>
            <w:r>
              <w:rPr>
                <w:rFonts w:eastAsiaTheme="minorHAnsi"/>
                <w:szCs w:val="24"/>
                <w:lang w:eastAsia="en-US"/>
              </w:rPr>
              <w:t xml:space="preserve">komiteto pastabą yra tikslinga. </w:t>
            </w:r>
            <w:r w:rsidR="00B520E4">
              <w:rPr>
                <w:rFonts w:eastAsiaTheme="minorHAnsi"/>
                <w:szCs w:val="24"/>
                <w:lang w:eastAsia="en-US"/>
              </w:rPr>
              <w:t>S</w:t>
            </w:r>
            <w:r w:rsidRPr="00792D54">
              <w:rPr>
                <w:rFonts w:eastAsiaTheme="minorHAnsi"/>
                <w:szCs w:val="24"/>
                <w:lang w:eastAsia="en-US"/>
              </w:rPr>
              <w:t xml:space="preserve">avivaldybės tarybai </w:t>
            </w:r>
            <w:r w:rsidR="00B520E4">
              <w:rPr>
                <w:rFonts w:eastAsiaTheme="minorHAnsi"/>
                <w:szCs w:val="24"/>
                <w:lang w:eastAsia="en-US"/>
              </w:rPr>
              <w:t xml:space="preserve">taip pat </w:t>
            </w:r>
            <w:r w:rsidRPr="00792D54">
              <w:rPr>
                <w:rFonts w:eastAsiaTheme="minorHAnsi"/>
                <w:szCs w:val="24"/>
                <w:lang w:eastAsia="en-US"/>
              </w:rPr>
              <w:t>yra teikiami svarstyti dar du sprendimo projektai, susiję su kūrybiniu inkubatoriumi Kultūros fabriku (Nr. T1-176 „Dėl</w:t>
            </w:r>
            <w:r w:rsidRPr="00792D54">
              <w:rPr>
                <w:rFonts w:eastAsia="Batang"/>
                <w:caps/>
                <w:szCs w:val="24"/>
                <w:lang w:eastAsia="ko-KR"/>
              </w:rPr>
              <w:t xml:space="preserve"> </w:t>
            </w:r>
            <w:r w:rsidRPr="00792D54">
              <w:rPr>
                <w:rFonts w:eastAsia="Batang"/>
                <w:caps/>
                <w:color w:val="000000"/>
                <w:szCs w:val="24"/>
                <w:lang w:eastAsia="ko-KR"/>
              </w:rPr>
              <w:t xml:space="preserve"> </w:t>
            </w:r>
            <w:r w:rsidRPr="00792D54">
              <w:rPr>
                <w:rFonts w:eastAsia="Batang"/>
                <w:color w:val="000000"/>
                <w:szCs w:val="24"/>
                <w:lang w:eastAsia="ko-KR"/>
              </w:rPr>
              <w:t>viešosios įstaigos Klaipėdos ekonominės plėtros agentūros savininko kapitalo didinimo“; T1-177 „</w:t>
            </w:r>
            <w:r w:rsidRPr="00792D54">
              <w:rPr>
                <w:szCs w:val="24"/>
              </w:rPr>
              <w:t>Dėl Klaipėdos miesto savivaldybės tarybos 2014 m. vasario 13 d. sprendimo Nr. T2-27 „Dėl Klaipėdos miesto savivaldybės privatizavimo fondo 2014 metų sąmatos patvirtinimo“ pakeitimo“</w:t>
            </w:r>
            <w:r>
              <w:rPr>
                <w:szCs w:val="24"/>
              </w:rPr>
              <w:t>)</w:t>
            </w:r>
            <w:r w:rsidR="00B520E4">
              <w:rPr>
                <w:szCs w:val="24"/>
              </w:rPr>
              <w:t>. Siekiant dokumentų suderinamumo,</w:t>
            </w:r>
            <w:r>
              <w:rPr>
                <w:szCs w:val="24"/>
              </w:rPr>
              <w:t xml:space="preserve"> siūloma koreguoti strateginio veiklos plano Smulkaus ir vidutinio verslo rėmimo programą (Nr. 04) įtraukiant naują priemonę 010204 „</w:t>
            </w:r>
            <w:r w:rsidRPr="00792D54">
              <w:rPr>
                <w:szCs w:val="24"/>
              </w:rPr>
              <w:t>VšĮ Klaipėdos ekonominės plėtros agentūros savininko kapitalo didinimas</w:t>
            </w:r>
            <w:r>
              <w:rPr>
                <w:szCs w:val="24"/>
              </w:rPr>
              <w:t>“.</w:t>
            </w:r>
          </w:p>
          <w:p w:rsidR="00987EDC" w:rsidRPr="00B520E4" w:rsidRDefault="00B520E4" w:rsidP="00B520E4">
            <w:pPr>
              <w:jc w:val="both"/>
              <w:rPr>
                <w:rFonts w:eastAsia="Batang"/>
                <w:szCs w:val="24"/>
                <w:lang w:eastAsia="ko-KR"/>
              </w:rPr>
            </w:pPr>
            <w:r>
              <w:rPr>
                <w:rFonts w:eastAsia="Batang"/>
                <w:szCs w:val="24"/>
                <w:lang w:eastAsia="ko-KR"/>
              </w:rPr>
              <w:t xml:space="preserve">        </w:t>
            </w:r>
            <w:r w:rsidR="005D4C3E">
              <w:rPr>
                <w:rFonts w:eastAsiaTheme="minorHAnsi"/>
                <w:szCs w:val="24"/>
                <w:lang w:eastAsia="en-US"/>
              </w:rPr>
              <w:t xml:space="preserve">  Teikiame Jums pakoreguotas sprendimo projekto dalis su lyginamaisiais variantais ir prašome pridėti prie sprendimo projekto </w:t>
            </w:r>
            <w:r w:rsidR="00792D54">
              <w:rPr>
                <w:rFonts w:eastAsiaTheme="minorHAnsi"/>
                <w:szCs w:val="24"/>
                <w:lang w:eastAsia="en-US"/>
              </w:rPr>
              <w:t xml:space="preserve">Nr. 1-166 </w:t>
            </w:r>
            <w:r w:rsidR="005D4C3E" w:rsidRPr="00987EDC">
              <w:rPr>
                <w:szCs w:val="24"/>
              </w:rPr>
              <w:t xml:space="preserve">„Dėl Klaipėdos </w:t>
            </w:r>
            <w:r w:rsidR="005D4C3E" w:rsidRPr="00987EDC">
              <w:rPr>
                <w:bCs/>
                <w:szCs w:val="24"/>
              </w:rPr>
              <w:t xml:space="preserve">miesto savivaldybės tarybos </w:t>
            </w:r>
            <w:r w:rsidR="005D4C3E" w:rsidRPr="00987EDC">
              <w:rPr>
                <w:szCs w:val="24"/>
              </w:rPr>
              <w:t xml:space="preserve">2014 m. sausio 30 d. sprendimo Nr. T2-16 </w:t>
            </w:r>
            <w:r w:rsidR="005D4C3E" w:rsidRPr="00987EDC">
              <w:rPr>
                <w:bCs/>
                <w:szCs w:val="24"/>
              </w:rPr>
              <w:t>„Dėl Klaipėdos miesto savivaldybės 2014–2016 metų strateginio veiklos plano patvirtinimo“ pakeitimo“</w:t>
            </w:r>
            <w:r w:rsidR="005D4C3E">
              <w:rPr>
                <w:bCs/>
                <w:szCs w:val="24"/>
              </w:rPr>
              <w:t xml:space="preserve"> medžiagos.</w:t>
            </w:r>
          </w:p>
        </w:tc>
      </w:tr>
      <w:tr w:rsidR="00792D54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D54" w:rsidRDefault="00792D54" w:rsidP="000944BF">
            <w:pPr>
              <w:rPr>
                <w:b/>
                <w:szCs w:val="24"/>
              </w:rPr>
            </w:pPr>
          </w:p>
        </w:tc>
      </w:tr>
    </w:tbl>
    <w:p w:rsidR="005D4C3E" w:rsidRPr="003A3546" w:rsidRDefault="005D4C3E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987E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</w:t>
            </w:r>
            <w:r w:rsidR="00987EDC">
              <w:rPr>
                <w:szCs w:val="24"/>
              </w:rPr>
              <w:t>ė</w:t>
            </w:r>
          </w:p>
        </w:tc>
        <w:tc>
          <w:tcPr>
            <w:tcW w:w="4927" w:type="dxa"/>
          </w:tcPr>
          <w:p w:rsidR="003A3546" w:rsidRPr="003A3546" w:rsidRDefault="00987EDC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Judita Simonavičiūtė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816192" w:rsidRPr="003A3546" w:rsidRDefault="005D4C3E" w:rsidP="003A3546">
      <w:pPr>
        <w:jc w:val="both"/>
        <w:rPr>
          <w:szCs w:val="24"/>
        </w:rPr>
      </w:pPr>
      <w:r>
        <w:rPr>
          <w:szCs w:val="24"/>
        </w:rPr>
        <w:t xml:space="preserve"> Indrė Butenienė</w:t>
      </w:r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 w:rsidR="000944BF" w:rsidRPr="003C09F9">
        <w:rPr>
          <w:szCs w:val="24"/>
        </w:rPr>
        <w:t xml:space="preserve"> 39 6</w:t>
      </w:r>
      <w:r>
        <w:rPr>
          <w:szCs w:val="24"/>
        </w:rPr>
        <w:t>1 84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r>
        <w:rPr>
          <w:szCs w:val="24"/>
          <w:lang w:val="en-US"/>
        </w:rPr>
        <w:t>indre.buteniene</w:t>
      </w:r>
      <w:r w:rsidR="00816192" w:rsidRPr="00816192">
        <w:rPr>
          <w:szCs w:val="24"/>
          <w:lang w:val="en-US"/>
        </w:rPr>
        <w:t>@</w:t>
      </w:r>
      <w:r w:rsidR="00816192" w:rsidRPr="00816192">
        <w:rPr>
          <w:szCs w:val="24"/>
        </w:rPr>
        <w:t>klaipeda.lt</w:t>
      </w:r>
    </w:p>
    <w:sectPr w:rsidR="00816192" w:rsidRPr="003A3546" w:rsidSect="00254CF6">
      <w:head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4B" w:rsidRDefault="00972F4B" w:rsidP="00F41647">
      <w:r>
        <w:separator/>
      </w:r>
    </w:p>
  </w:endnote>
  <w:endnote w:type="continuationSeparator" w:id="0">
    <w:p w:rsidR="00972F4B" w:rsidRDefault="00972F4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3000"/>
      <w:gridCol w:w="3200"/>
    </w:tblGrid>
    <w:tr w:rsidR="00B66CD1" w:rsidTr="00DE60FE">
      <w:trPr>
        <w:trHeight w:val="751"/>
      </w:trPr>
      <w:tc>
        <w:tcPr>
          <w:tcW w:w="3608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Biudžetinė įstaiga </w:t>
          </w:r>
        </w:p>
        <w:p w:rsidR="00B66CD1" w:rsidRPr="00DB0811" w:rsidRDefault="004C7772" w:rsidP="00B66CD1">
          <w:pPr>
            <w:rPr>
              <w:sz w:val="20"/>
            </w:rPr>
          </w:pPr>
          <w:r>
            <w:rPr>
              <w:sz w:val="20"/>
            </w:rPr>
            <w:t xml:space="preserve">Liepų g. 11, </w:t>
          </w:r>
          <w:r w:rsidR="00B66CD1" w:rsidRPr="00DB0811">
            <w:rPr>
              <w:sz w:val="20"/>
            </w:rPr>
            <w:t xml:space="preserve">91502 Klaipėda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El. p. administracija@klaipeda.lt</w:t>
          </w:r>
        </w:p>
        <w:p w:rsidR="00B66CD1" w:rsidRPr="00DB0811" w:rsidRDefault="00B66CD1" w:rsidP="00B66CD1">
          <w:pPr>
            <w:rPr>
              <w:sz w:val="20"/>
            </w:rPr>
          </w:pP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  <w:p w:rsidR="00B66CD1" w:rsidRPr="00DB0811" w:rsidRDefault="00B66CD1" w:rsidP="00B66CD1">
          <w:pPr>
            <w:jc w:val="both"/>
            <w:rPr>
              <w:sz w:val="20"/>
            </w:rPr>
          </w:pPr>
          <w:r w:rsidRPr="00DB0811">
            <w:rPr>
              <w:sz w:val="20"/>
            </w:rPr>
            <w:t>PVM mokėtojo kodas LT887108219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4B" w:rsidRDefault="00972F4B" w:rsidP="00F41647">
      <w:r>
        <w:separator/>
      </w:r>
    </w:p>
  </w:footnote>
  <w:footnote w:type="continuationSeparator" w:id="0">
    <w:p w:rsidR="00972F4B" w:rsidRDefault="00972F4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5C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3887"/>
    <w:rsid w:val="000944BF"/>
    <w:rsid w:val="000E6C34"/>
    <w:rsid w:val="001444C8"/>
    <w:rsid w:val="00163473"/>
    <w:rsid w:val="001B01B1"/>
    <w:rsid w:val="001D1AE7"/>
    <w:rsid w:val="00237522"/>
    <w:rsid w:val="00237B69"/>
    <w:rsid w:val="00242B88"/>
    <w:rsid w:val="00254CF6"/>
    <w:rsid w:val="00291226"/>
    <w:rsid w:val="002929CF"/>
    <w:rsid w:val="002E5FBA"/>
    <w:rsid w:val="00324750"/>
    <w:rsid w:val="00347F54"/>
    <w:rsid w:val="00384543"/>
    <w:rsid w:val="003A3546"/>
    <w:rsid w:val="003C09F9"/>
    <w:rsid w:val="003E5D65"/>
    <w:rsid w:val="003E603A"/>
    <w:rsid w:val="00404C77"/>
    <w:rsid w:val="00405B54"/>
    <w:rsid w:val="00433CCC"/>
    <w:rsid w:val="004545AD"/>
    <w:rsid w:val="00472954"/>
    <w:rsid w:val="0048725D"/>
    <w:rsid w:val="004C7772"/>
    <w:rsid w:val="004F140E"/>
    <w:rsid w:val="0053525C"/>
    <w:rsid w:val="005C29DF"/>
    <w:rsid w:val="005D4C3E"/>
    <w:rsid w:val="00606132"/>
    <w:rsid w:val="00647ABE"/>
    <w:rsid w:val="006C7469"/>
    <w:rsid w:val="006E106A"/>
    <w:rsid w:val="006F416F"/>
    <w:rsid w:val="006F4715"/>
    <w:rsid w:val="0070711F"/>
    <w:rsid w:val="00710820"/>
    <w:rsid w:val="00713BC8"/>
    <w:rsid w:val="0074051E"/>
    <w:rsid w:val="007775F7"/>
    <w:rsid w:val="00792D54"/>
    <w:rsid w:val="007F6345"/>
    <w:rsid w:val="00801E4F"/>
    <w:rsid w:val="00816192"/>
    <w:rsid w:val="008623E9"/>
    <w:rsid w:val="00864F6F"/>
    <w:rsid w:val="008C6BDA"/>
    <w:rsid w:val="008D69DD"/>
    <w:rsid w:val="008F665C"/>
    <w:rsid w:val="00932DDD"/>
    <w:rsid w:val="00972F4B"/>
    <w:rsid w:val="00987EDC"/>
    <w:rsid w:val="009A4237"/>
    <w:rsid w:val="00A3260E"/>
    <w:rsid w:val="00A44DC7"/>
    <w:rsid w:val="00A56070"/>
    <w:rsid w:val="00A8670A"/>
    <w:rsid w:val="00A9592B"/>
    <w:rsid w:val="00AA5DFD"/>
    <w:rsid w:val="00AD2EE1"/>
    <w:rsid w:val="00B40258"/>
    <w:rsid w:val="00B4072A"/>
    <w:rsid w:val="00B520E4"/>
    <w:rsid w:val="00B66CD1"/>
    <w:rsid w:val="00B7320C"/>
    <w:rsid w:val="00BB07E2"/>
    <w:rsid w:val="00C05436"/>
    <w:rsid w:val="00C70A51"/>
    <w:rsid w:val="00C73DF4"/>
    <w:rsid w:val="00CA3B40"/>
    <w:rsid w:val="00CA7B58"/>
    <w:rsid w:val="00CB3E22"/>
    <w:rsid w:val="00D2166F"/>
    <w:rsid w:val="00D81831"/>
    <w:rsid w:val="00DB0811"/>
    <w:rsid w:val="00DE0BFB"/>
    <w:rsid w:val="00DF2D02"/>
    <w:rsid w:val="00E37B92"/>
    <w:rsid w:val="00E44D60"/>
    <w:rsid w:val="00E65B25"/>
    <w:rsid w:val="00E96582"/>
    <w:rsid w:val="00EA65AF"/>
    <w:rsid w:val="00EC10BA"/>
    <w:rsid w:val="00ED1DA5"/>
    <w:rsid w:val="00ED3397"/>
    <w:rsid w:val="00EE68AF"/>
    <w:rsid w:val="00F41647"/>
    <w:rsid w:val="00F60107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DF4B-60FE-46D4-8857-D4E306F9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1858</Words>
  <Characters>1060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2014-07-24T05:41:00Z</cp:lastPrinted>
  <dcterms:created xsi:type="dcterms:W3CDTF">2014-07-24T12:37:00Z</dcterms:created>
  <dcterms:modified xsi:type="dcterms:W3CDTF">2014-07-24T12:37:00Z</dcterms:modified>
</cp:coreProperties>
</file>