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43" w:type="dxa"/>
        <w:tblInd w:w="11307" w:type="dxa"/>
        <w:tblLook w:val="04A0" w:firstRow="1" w:lastRow="0" w:firstColumn="1" w:lastColumn="0" w:noHBand="0" w:noVBand="1"/>
      </w:tblPr>
      <w:tblGrid>
        <w:gridCol w:w="3543"/>
      </w:tblGrid>
      <w:tr w:rsidR="00A4287C" w:rsidRPr="00A4287C" w14:paraId="382F2FC7" w14:textId="77777777" w:rsidTr="0067055C">
        <w:tc>
          <w:tcPr>
            <w:tcW w:w="3543" w:type="dxa"/>
            <w:shd w:val="clear" w:color="auto" w:fill="auto"/>
          </w:tcPr>
          <w:p w14:paraId="382F2FC6" w14:textId="77777777" w:rsidR="00A4287C" w:rsidRPr="00A4287C" w:rsidRDefault="00A4287C" w:rsidP="0067055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eastAsia="lt-LT"/>
              </w:rPr>
            </w:pPr>
            <w:bookmarkStart w:id="0" w:name="_GoBack"/>
            <w:bookmarkEnd w:id="0"/>
            <w:r w:rsidRPr="00A4287C">
              <w:rPr>
                <w:lang w:eastAsia="lt-LT"/>
              </w:rPr>
              <w:t>PATVIRTINTA</w:t>
            </w:r>
          </w:p>
        </w:tc>
      </w:tr>
      <w:tr w:rsidR="00A4287C" w:rsidRPr="00A4287C" w14:paraId="382F2FC9" w14:textId="77777777" w:rsidTr="0067055C">
        <w:tc>
          <w:tcPr>
            <w:tcW w:w="3543" w:type="dxa"/>
            <w:shd w:val="clear" w:color="auto" w:fill="auto"/>
          </w:tcPr>
          <w:p w14:paraId="382F2FC8" w14:textId="77777777" w:rsidR="00A4287C" w:rsidRPr="00A4287C" w:rsidRDefault="00A4287C" w:rsidP="00A4287C">
            <w:pPr>
              <w:rPr>
                <w:lang w:eastAsia="lt-LT"/>
              </w:rPr>
            </w:pPr>
            <w:r w:rsidRPr="00A4287C">
              <w:rPr>
                <w:lang w:eastAsia="lt-LT"/>
              </w:rPr>
              <w:t>Klaipėdos miesto savivaldybės</w:t>
            </w:r>
          </w:p>
        </w:tc>
      </w:tr>
      <w:tr w:rsidR="00A4287C" w:rsidRPr="00A4287C" w14:paraId="382F2FCB" w14:textId="77777777" w:rsidTr="0067055C">
        <w:tc>
          <w:tcPr>
            <w:tcW w:w="3543" w:type="dxa"/>
            <w:shd w:val="clear" w:color="auto" w:fill="auto"/>
          </w:tcPr>
          <w:p w14:paraId="382F2FCA" w14:textId="77777777" w:rsidR="00A4287C" w:rsidRPr="00A4287C" w:rsidRDefault="001049F3" w:rsidP="00A4287C">
            <w:pPr>
              <w:rPr>
                <w:lang w:eastAsia="lt-LT"/>
              </w:rPr>
            </w:pPr>
            <w:r w:rsidRPr="00A4287C">
              <w:rPr>
                <w:lang w:eastAsia="lt-LT"/>
              </w:rPr>
              <w:t xml:space="preserve">tarybos </w:t>
            </w:r>
            <w:r w:rsidRPr="00A4287C">
              <w:rPr>
                <w:noProof/>
                <w:lang w:eastAsia="lt-LT"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4287C">
              <w:rPr>
                <w:noProof/>
                <w:lang w:eastAsia="lt-LT"/>
              </w:rPr>
              <w:instrText xml:space="preserve"> FORMTEXT </w:instrText>
            </w:r>
            <w:r w:rsidRPr="00A4287C">
              <w:rPr>
                <w:noProof/>
                <w:lang w:eastAsia="lt-LT"/>
              </w:rPr>
            </w:r>
            <w:r w:rsidRPr="00A4287C">
              <w:rPr>
                <w:noProof/>
                <w:lang w:eastAsia="lt-LT"/>
              </w:rPr>
              <w:fldChar w:fldCharType="separate"/>
            </w:r>
            <w:r w:rsidRPr="00A4287C">
              <w:rPr>
                <w:noProof/>
                <w:lang w:eastAsia="lt-LT"/>
              </w:rPr>
              <w:t> </w:t>
            </w:r>
            <w:r w:rsidRPr="00A4287C">
              <w:rPr>
                <w:noProof/>
                <w:lang w:eastAsia="lt-LT"/>
              </w:rPr>
              <w:fldChar w:fldCharType="end"/>
            </w:r>
          </w:p>
        </w:tc>
      </w:tr>
      <w:tr w:rsidR="00A4287C" w:rsidRPr="00A4287C" w14:paraId="382F2FCD" w14:textId="77777777" w:rsidTr="0067055C">
        <w:tc>
          <w:tcPr>
            <w:tcW w:w="3543" w:type="dxa"/>
            <w:shd w:val="clear" w:color="auto" w:fill="auto"/>
          </w:tcPr>
          <w:p w14:paraId="382F2FCC" w14:textId="77777777" w:rsidR="00A4287C" w:rsidRPr="00A4287C" w:rsidRDefault="000F6B80" w:rsidP="0067055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eastAsia="lt-LT"/>
              </w:rPr>
            </w:pPr>
            <w:r w:rsidRPr="0067055C">
              <w:rPr>
                <w:bCs/>
              </w:rPr>
              <w:t xml:space="preserve">sprendimu </w:t>
            </w:r>
            <w:r w:rsidR="001049F3" w:rsidRPr="00A4287C">
              <w:rPr>
                <w:lang w:eastAsia="lt-LT"/>
              </w:rPr>
              <w:t xml:space="preserve">Nr. </w:t>
            </w:r>
            <w:r w:rsidR="001049F3" w:rsidRPr="00A4287C">
              <w:rPr>
                <w:noProof/>
                <w:lang w:eastAsia="lt-LT"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049F3" w:rsidRPr="00A4287C">
              <w:rPr>
                <w:noProof/>
                <w:lang w:eastAsia="lt-LT"/>
              </w:rPr>
              <w:instrText xml:space="preserve"> FORMTEXT </w:instrText>
            </w:r>
            <w:r w:rsidR="001049F3" w:rsidRPr="00A4287C">
              <w:rPr>
                <w:noProof/>
                <w:lang w:eastAsia="lt-LT"/>
              </w:rPr>
            </w:r>
            <w:r w:rsidR="001049F3" w:rsidRPr="00A4287C">
              <w:rPr>
                <w:noProof/>
                <w:lang w:eastAsia="lt-LT"/>
              </w:rPr>
              <w:fldChar w:fldCharType="separate"/>
            </w:r>
            <w:r w:rsidR="001049F3" w:rsidRPr="00A4287C">
              <w:rPr>
                <w:noProof/>
                <w:lang w:eastAsia="lt-LT"/>
              </w:rPr>
              <w:t> </w:t>
            </w:r>
            <w:r w:rsidR="001049F3" w:rsidRPr="00A4287C">
              <w:rPr>
                <w:noProof/>
                <w:lang w:eastAsia="lt-LT"/>
              </w:rPr>
              <w:fldChar w:fldCharType="end"/>
            </w:r>
          </w:p>
        </w:tc>
      </w:tr>
    </w:tbl>
    <w:p w14:paraId="382F2FCE" w14:textId="77777777" w:rsidR="00A4287C" w:rsidRDefault="00A4287C" w:rsidP="004E566E">
      <w:pPr>
        <w:ind w:left="5102"/>
        <w:jc w:val="both"/>
      </w:pPr>
    </w:p>
    <w:p w14:paraId="382F2FCF" w14:textId="77777777" w:rsidR="00665769" w:rsidRPr="009676CE" w:rsidRDefault="00665769" w:rsidP="00833C19">
      <w:pPr>
        <w:ind w:left="5040" w:firstLine="720"/>
        <w:jc w:val="both"/>
        <w:rPr>
          <w:bCs/>
        </w:rPr>
      </w:pPr>
    </w:p>
    <w:p w14:paraId="382F2FD0" w14:textId="77777777" w:rsidR="00665769" w:rsidRDefault="001049F3" w:rsidP="00833C19">
      <w:pPr>
        <w:jc w:val="center"/>
        <w:rPr>
          <w:b/>
        </w:rPr>
      </w:pPr>
      <w:r>
        <w:rPr>
          <w:b/>
        </w:rPr>
        <w:t xml:space="preserve">VŠĮ </w:t>
      </w:r>
      <w:r w:rsidR="00665769" w:rsidRPr="009676CE">
        <w:rPr>
          <w:b/>
        </w:rPr>
        <w:t xml:space="preserve">KLAIPĖDOS </w:t>
      </w:r>
      <w:r>
        <w:rPr>
          <w:b/>
        </w:rPr>
        <w:t>EKONOMINĖS PLĖTROS AGENTŪROS</w:t>
      </w:r>
      <w:r w:rsidR="00665769" w:rsidRPr="009676CE">
        <w:rPr>
          <w:b/>
        </w:rPr>
        <w:t xml:space="preserve"> TEIKIAMŲ </w:t>
      </w:r>
      <w:r>
        <w:rPr>
          <w:b/>
        </w:rPr>
        <w:t>KŪRYBINIO INKUBATORIAUS KULTŪROS FABRIKO</w:t>
      </w:r>
      <w:r w:rsidR="00665769" w:rsidRPr="009676CE">
        <w:rPr>
          <w:b/>
        </w:rPr>
        <w:t xml:space="preserve"> PASLAUGŲ ĮKAINIAI </w:t>
      </w:r>
      <w:r w:rsidR="00952415">
        <w:rPr>
          <w:b/>
        </w:rPr>
        <w:t xml:space="preserve">NUO </w:t>
      </w:r>
      <w:r w:rsidR="00952415" w:rsidRPr="00952415">
        <w:rPr>
          <w:b/>
        </w:rPr>
        <w:t>EURO ĮVE</w:t>
      </w:r>
      <w:r w:rsidR="00952415">
        <w:rPr>
          <w:b/>
        </w:rPr>
        <w:t>DIMO LIETUVOS RESPUBLIKOJE DIENOS</w:t>
      </w:r>
    </w:p>
    <w:p w14:paraId="382F2FD1" w14:textId="77777777" w:rsidR="00665769" w:rsidRPr="009676CE" w:rsidRDefault="00665769" w:rsidP="00833C19">
      <w:pPr>
        <w:jc w:val="center"/>
        <w:rPr>
          <w:b/>
        </w:rPr>
      </w:pPr>
    </w:p>
    <w:p w14:paraId="382F2FD2" w14:textId="77777777" w:rsidR="001049F3" w:rsidRDefault="001049F3" w:rsidP="00833C19">
      <w:pPr>
        <w:jc w:val="both"/>
        <w:rPr>
          <w:b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7513"/>
        <w:gridCol w:w="3543"/>
      </w:tblGrid>
      <w:tr w:rsidR="009E4F38" w:rsidRPr="001049F3" w14:paraId="382F2FD4" w14:textId="77777777" w:rsidTr="009E4F38">
        <w:trPr>
          <w:trHeight w:val="643"/>
        </w:trPr>
        <w:tc>
          <w:tcPr>
            <w:tcW w:w="15026" w:type="dxa"/>
            <w:gridSpan w:val="3"/>
            <w:noWrap/>
            <w:vAlign w:val="center"/>
          </w:tcPr>
          <w:p w14:paraId="382F2FD3" w14:textId="77777777" w:rsidR="009E4F38" w:rsidRPr="001049F3" w:rsidRDefault="009E4F38" w:rsidP="001049F3">
            <w:pPr>
              <w:jc w:val="center"/>
              <w:rPr>
                <w:b/>
              </w:rPr>
            </w:pPr>
            <w:r>
              <w:rPr>
                <w:b/>
              </w:rPr>
              <w:t xml:space="preserve">KŪRYBINIS </w:t>
            </w:r>
            <w:r w:rsidRPr="001049F3">
              <w:rPr>
                <w:b/>
              </w:rPr>
              <w:t xml:space="preserve">INKUBATORIUS KULTŪROS FABRIKAS, Bangų g. 5, Klaipėda </w:t>
            </w:r>
          </w:p>
        </w:tc>
      </w:tr>
      <w:tr w:rsidR="009E4F38" w:rsidRPr="005C1604" w14:paraId="382F2FD9" w14:textId="77777777" w:rsidTr="0061116F">
        <w:trPr>
          <w:trHeight w:val="553"/>
        </w:trPr>
        <w:tc>
          <w:tcPr>
            <w:tcW w:w="3970" w:type="dxa"/>
            <w:shd w:val="clear" w:color="auto" w:fill="D9D9D9" w:themeFill="background1" w:themeFillShade="D9"/>
            <w:noWrap/>
          </w:tcPr>
          <w:p w14:paraId="382F2FD5" w14:textId="77777777" w:rsidR="009E4F38" w:rsidRPr="005C1604" w:rsidRDefault="009E4F38" w:rsidP="001049F3">
            <w:pPr>
              <w:jc w:val="center"/>
              <w:rPr>
                <w:b/>
              </w:rPr>
            </w:pPr>
            <w:r>
              <w:rPr>
                <w:b/>
              </w:rPr>
              <w:t>Paslaugos</w:t>
            </w:r>
            <w:r w:rsidRPr="005C1604">
              <w:rPr>
                <w:b/>
              </w:rPr>
              <w:t xml:space="preserve"> rūšis</w:t>
            </w:r>
          </w:p>
        </w:tc>
        <w:tc>
          <w:tcPr>
            <w:tcW w:w="7513" w:type="dxa"/>
            <w:shd w:val="clear" w:color="auto" w:fill="D9D9D9" w:themeFill="background1" w:themeFillShade="D9"/>
            <w:noWrap/>
          </w:tcPr>
          <w:p w14:paraId="382F2FD6" w14:textId="77777777" w:rsidR="009E4F38" w:rsidRPr="005C1604" w:rsidRDefault="009E4F38" w:rsidP="001049F3">
            <w:pPr>
              <w:jc w:val="center"/>
              <w:rPr>
                <w:b/>
              </w:rPr>
            </w:pPr>
            <w:r w:rsidRPr="005C1604">
              <w:rPr>
                <w:b/>
              </w:rPr>
              <w:t>Kainodara</w:t>
            </w:r>
          </w:p>
        </w:tc>
        <w:tc>
          <w:tcPr>
            <w:tcW w:w="3543" w:type="dxa"/>
            <w:shd w:val="clear" w:color="auto" w:fill="D9D9D9" w:themeFill="background1" w:themeFillShade="D9"/>
            <w:noWrap/>
          </w:tcPr>
          <w:p w14:paraId="382F2FD7" w14:textId="05380CDA" w:rsidR="009E4F38" w:rsidRPr="005C1604" w:rsidRDefault="00782336" w:rsidP="001049F3">
            <w:pPr>
              <w:jc w:val="center"/>
              <w:rPr>
                <w:b/>
              </w:rPr>
            </w:pPr>
            <w:r>
              <w:rPr>
                <w:b/>
              </w:rPr>
              <w:t>Nuomos kaina</w:t>
            </w:r>
            <w:r w:rsidR="009E4F38">
              <w:rPr>
                <w:b/>
              </w:rPr>
              <w:t xml:space="preserve"> </w:t>
            </w:r>
            <w:r w:rsidR="009706A7">
              <w:rPr>
                <w:b/>
              </w:rPr>
              <w:t>Eur</w:t>
            </w:r>
          </w:p>
          <w:p w14:paraId="382F2FD8" w14:textId="6FC0F6D6" w:rsidR="009E4F38" w:rsidRPr="005C1604" w:rsidRDefault="009E4F38" w:rsidP="001049F3">
            <w:pPr>
              <w:jc w:val="center"/>
              <w:rPr>
                <w:b/>
              </w:rPr>
            </w:pPr>
          </w:p>
        </w:tc>
      </w:tr>
      <w:tr w:rsidR="009E4F38" w:rsidRPr="001049F3" w14:paraId="382F2FDD" w14:textId="77777777" w:rsidTr="0061116F">
        <w:trPr>
          <w:trHeight w:val="255"/>
        </w:trPr>
        <w:tc>
          <w:tcPr>
            <w:tcW w:w="3970" w:type="dxa"/>
            <w:shd w:val="clear" w:color="auto" w:fill="D9D9D9" w:themeFill="background1" w:themeFillShade="D9"/>
            <w:noWrap/>
          </w:tcPr>
          <w:p w14:paraId="382F2FDA" w14:textId="77777777" w:rsidR="009E4F38" w:rsidRPr="001049F3" w:rsidRDefault="009E4F38" w:rsidP="00563CCF">
            <w:pPr>
              <w:rPr>
                <w:b/>
                <w:bCs/>
              </w:rPr>
            </w:pPr>
            <w:r w:rsidRPr="00563CCF">
              <w:rPr>
                <w:b/>
                <w:bCs/>
              </w:rPr>
              <w:t xml:space="preserve">Rezidavimo paslauga </w:t>
            </w:r>
            <w:r>
              <w:rPr>
                <w:b/>
                <w:bCs/>
              </w:rPr>
              <w:t>in</w:t>
            </w:r>
            <w:r w:rsidRPr="001049F3">
              <w:rPr>
                <w:b/>
                <w:bCs/>
              </w:rPr>
              <w:t>kubatoriaus biur</w:t>
            </w:r>
            <w:r>
              <w:rPr>
                <w:b/>
                <w:bCs/>
              </w:rPr>
              <w:t>uose</w:t>
            </w:r>
            <w:r w:rsidRPr="001049F3">
              <w:rPr>
                <w:b/>
                <w:bCs/>
              </w:rPr>
              <w:t>, studijos</w:t>
            </w:r>
            <w:r>
              <w:rPr>
                <w:b/>
                <w:bCs/>
              </w:rPr>
              <w:t>e</w:t>
            </w:r>
          </w:p>
        </w:tc>
        <w:tc>
          <w:tcPr>
            <w:tcW w:w="7513" w:type="dxa"/>
            <w:noWrap/>
          </w:tcPr>
          <w:p w14:paraId="382F2FDB" w14:textId="77777777" w:rsidR="009E4F38" w:rsidRPr="005C1604" w:rsidRDefault="009E4F38" w:rsidP="000F33F4">
            <w:pPr>
              <w:rPr>
                <w:bCs/>
              </w:rPr>
            </w:pPr>
            <w:r>
              <w:rPr>
                <w:bCs/>
              </w:rPr>
              <w:t>1</w:t>
            </w:r>
            <w:r w:rsidRPr="005C1604">
              <w:rPr>
                <w:bCs/>
              </w:rPr>
              <w:t xml:space="preserve"> kv. m/mėn.*</w:t>
            </w:r>
          </w:p>
        </w:tc>
        <w:tc>
          <w:tcPr>
            <w:tcW w:w="3543" w:type="dxa"/>
            <w:noWrap/>
          </w:tcPr>
          <w:p w14:paraId="382F2FDC" w14:textId="77777777" w:rsidR="009E4F38" w:rsidRPr="00952415" w:rsidRDefault="009E4F38" w:rsidP="0061116F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6,3</w:t>
            </w:r>
            <w:r>
              <w:rPr>
                <w:b/>
                <w:bCs/>
              </w:rPr>
              <w:t>7</w:t>
            </w:r>
            <w:r w:rsidRPr="00952415">
              <w:rPr>
                <w:b/>
                <w:bCs/>
              </w:rPr>
              <w:t xml:space="preserve"> Eur</w:t>
            </w:r>
            <w:r w:rsidRPr="00952415" w:rsidDel="00563CCF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(su PVM)</w:t>
            </w:r>
          </w:p>
        </w:tc>
      </w:tr>
      <w:tr w:rsidR="009E4F38" w:rsidRPr="001049F3" w14:paraId="382F2FE1" w14:textId="77777777" w:rsidTr="0061116F">
        <w:trPr>
          <w:trHeight w:val="255"/>
        </w:trPr>
        <w:tc>
          <w:tcPr>
            <w:tcW w:w="3970" w:type="dxa"/>
            <w:vMerge w:val="restart"/>
            <w:shd w:val="clear" w:color="auto" w:fill="D9D9D9" w:themeFill="background1" w:themeFillShade="D9"/>
            <w:noWrap/>
          </w:tcPr>
          <w:p w14:paraId="382F2FDE" w14:textId="398D028A" w:rsidR="009E4F38" w:rsidRPr="001049F3" w:rsidRDefault="00782336" w:rsidP="00517FB0">
            <w:pPr>
              <w:rPr>
                <w:b/>
                <w:bCs/>
              </w:rPr>
            </w:pPr>
            <w:r>
              <w:rPr>
                <w:b/>
                <w:bCs/>
              </w:rPr>
              <w:t>Daugiafunkc</w:t>
            </w:r>
            <w:r w:rsidR="009E4F38">
              <w:rPr>
                <w:b/>
                <w:bCs/>
              </w:rPr>
              <w:t>ės s</w:t>
            </w:r>
            <w:r w:rsidR="009E4F38" w:rsidRPr="001049F3">
              <w:rPr>
                <w:b/>
                <w:bCs/>
              </w:rPr>
              <w:t>alė</w:t>
            </w:r>
            <w:r w:rsidR="009E4F38">
              <w:rPr>
                <w:b/>
                <w:bCs/>
              </w:rPr>
              <w:t>s nuoma</w:t>
            </w:r>
          </w:p>
        </w:tc>
        <w:tc>
          <w:tcPr>
            <w:tcW w:w="7513" w:type="dxa"/>
            <w:noWrap/>
          </w:tcPr>
          <w:p w14:paraId="382F2FDF" w14:textId="5251A803" w:rsidR="009E4F38" w:rsidRPr="005C1604" w:rsidRDefault="009E4F38" w:rsidP="000F33F4">
            <w:pPr>
              <w:rPr>
                <w:bCs/>
              </w:rPr>
            </w:pPr>
            <w:r>
              <w:rPr>
                <w:bCs/>
              </w:rPr>
              <w:t>Visai d</w:t>
            </w:r>
            <w:r w:rsidRPr="005C1604">
              <w:rPr>
                <w:bCs/>
              </w:rPr>
              <w:t>ienai</w:t>
            </w:r>
            <w:r>
              <w:rPr>
                <w:bCs/>
              </w:rPr>
              <w:t xml:space="preserve"> </w:t>
            </w:r>
            <w:r w:rsidRPr="00563CCF">
              <w:rPr>
                <w:bCs/>
              </w:rPr>
              <w:t xml:space="preserve">(maksimali trukmė </w:t>
            </w:r>
            <w:r w:rsidR="00782336">
              <w:rPr>
                <w:bCs/>
              </w:rPr>
              <w:t xml:space="preserve">– </w:t>
            </w:r>
            <w:r w:rsidRPr="00563CCF">
              <w:rPr>
                <w:bCs/>
              </w:rPr>
              <w:t>10 val</w:t>
            </w:r>
            <w:r>
              <w:rPr>
                <w:bCs/>
              </w:rPr>
              <w:t>.)</w:t>
            </w:r>
          </w:p>
        </w:tc>
        <w:tc>
          <w:tcPr>
            <w:tcW w:w="3543" w:type="dxa"/>
            <w:noWrap/>
          </w:tcPr>
          <w:p w14:paraId="382F2FE0" w14:textId="77777777" w:rsidR="009E4F38" w:rsidRPr="00952415" w:rsidRDefault="009E4F38" w:rsidP="0061116F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403,15 Eur</w:t>
            </w:r>
            <w:r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</w:tr>
      <w:tr w:rsidR="009E4F38" w:rsidRPr="001049F3" w14:paraId="382F2FE5" w14:textId="77777777" w:rsidTr="0061116F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14:paraId="382F2FE2" w14:textId="77777777" w:rsidR="009E4F38" w:rsidRPr="001049F3" w:rsidRDefault="009E4F38" w:rsidP="00517FB0">
            <w:pPr>
              <w:rPr>
                <w:b/>
                <w:bCs/>
              </w:rPr>
            </w:pPr>
          </w:p>
        </w:tc>
        <w:tc>
          <w:tcPr>
            <w:tcW w:w="7513" w:type="dxa"/>
            <w:noWrap/>
          </w:tcPr>
          <w:p w14:paraId="382F2FE3" w14:textId="21A76A5C" w:rsidR="009E4F38" w:rsidRPr="005C1604" w:rsidRDefault="00F2081F" w:rsidP="000F33F4">
            <w:pPr>
              <w:rPr>
                <w:bCs/>
              </w:rPr>
            </w:pPr>
            <w:r>
              <w:rPr>
                <w:bCs/>
              </w:rPr>
              <w:t>R</w:t>
            </w:r>
            <w:r w:rsidR="009E4F38" w:rsidRPr="00563CCF">
              <w:rPr>
                <w:bCs/>
              </w:rPr>
              <w:t xml:space="preserve">epeticijoms (kasdien, maksimali trukmė </w:t>
            </w:r>
            <w:r w:rsidR="00782336">
              <w:rPr>
                <w:bCs/>
              </w:rPr>
              <w:t xml:space="preserve">– </w:t>
            </w:r>
            <w:r w:rsidR="009E4F38" w:rsidRPr="00563CCF">
              <w:rPr>
                <w:bCs/>
              </w:rPr>
              <w:t>4 val.)</w:t>
            </w:r>
          </w:p>
        </w:tc>
        <w:tc>
          <w:tcPr>
            <w:tcW w:w="3543" w:type="dxa"/>
            <w:noWrap/>
          </w:tcPr>
          <w:p w14:paraId="382F2FE4" w14:textId="77777777" w:rsidR="009E4F38" w:rsidRPr="00952415" w:rsidRDefault="009E4F38" w:rsidP="0061116F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  <w:szCs w:val="22"/>
              </w:rPr>
              <w:t>86,89 Eur</w:t>
            </w:r>
            <w:r w:rsidRPr="00952415" w:rsidDel="005A7482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</w:tr>
      <w:tr w:rsidR="009E4F38" w:rsidRPr="001049F3" w14:paraId="382F2FE9" w14:textId="77777777" w:rsidTr="0061116F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14:paraId="382F2FE6" w14:textId="77777777" w:rsidR="009E4F38" w:rsidRPr="001049F3" w:rsidRDefault="009E4F38" w:rsidP="00517FB0">
            <w:pPr>
              <w:rPr>
                <w:b/>
                <w:bCs/>
              </w:rPr>
            </w:pPr>
          </w:p>
        </w:tc>
        <w:tc>
          <w:tcPr>
            <w:tcW w:w="7513" w:type="dxa"/>
            <w:noWrap/>
          </w:tcPr>
          <w:p w14:paraId="382F2FE7" w14:textId="2CF7A712" w:rsidR="009E4F38" w:rsidRPr="005C1604" w:rsidRDefault="00F2081F" w:rsidP="00F2081F">
            <w:pPr>
              <w:rPr>
                <w:bCs/>
              </w:rPr>
            </w:pPr>
            <w:r>
              <w:rPr>
                <w:bCs/>
              </w:rPr>
              <w:t>V</w:t>
            </w:r>
            <w:r w:rsidRPr="00563CCF">
              <w:rPr>
                <w:bCs/>
              </w:rPr>
              <w:t xml:space="preserve">aikų renginiams </w:t>
            </w:r>
            <w:r w:rsidR="009E4F38" w:rsidRPr="00563CCF">
              <w:rPr>
                <w:bCs/>
              </w:rPr>
              <w:t>su įranga (kasdien nuo 10.00</w:t>
            </w:r>
            <w:r w:rsidR="009E4F38">
              <w:rPr>
                <w:bCs/>
              </w:rPr>
              <w:t xml:space="preserve"> val.</w:t>
            </w:r>
            <w:r w:rsidR="009E4F38" w:rsidRPr="00563CCF">
              <w:rPr>
                <w:bCs/>
              </w:rPr>
              <w:t xml:space="preserve"> iki 14.00</w:t>
            </w:r>
            <w:r w:rsidR="009E4F38">
              <w:rPr>
                <w:bCs/>
              </w:rPr>
              <w:t xml:space="preserve"> val.</w:t>
            </w:r>
            <w:r>
              <w:rPr>
                <w:bCs/>
              </w:rPr>
              <w:t xml:space="preserve">, </w:t>
            </w:r>
            <w:r w:rsidRPr="00563CCF">
              <w:rPr>
                <w:bCs/>
              </w:rPr>
              <w:t>maksimali trukmė</w:t>
            </w:r>
            <w:r w:rsidR="00782336">
              <w:rPr>
                <w:bCs/>
              </w:rPr>
              <w:t xml:space="preserve"> –</w:t>
            </w:r>
            <w:r w:rsidRPr="00563CCF">
              <w:rPr>
                <w:bCs/>
              </w:rPr>
              <w:t xml:space="preserve"> 4 val.</w:t>
            </w:r>
            <w:r w:rsidR="009E4F38" w:rsidRPr="00563CCF">
              <w:rPr>
                <w:bCs/>
              </w:rPr>
              <w:t>)</w:t>
            </w:r>
          </w:p>
        </w:tc>
        <w:tc>
          <w:tcPr>
            <w:tcW w:w="3543" w:type="dxa"/>
            <w:noWrap/>
          </w:tcPr>
          <w:p w14:paraId="382F2FE8" w14:textId="77777777" w:rsidR="009E4F38" w:rsidRPr="00952415" w:rsidRDefault="009E4F38" w:rsidP="0061116F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  <w:szCs w:val="22"/>
              </w:rPr>
              <w:t xml:space="preserve">144,81 Eur </w:t>
            </w:r>
            <w:r w:rsidRPr="00952415">
              <w:rPr>
                <w:b/>
                <w:bCs/>
              </w:rPr>
              <w:t>(be PVM)</w:t>
            </w:r>
          </w:p>
        </w:tc>
      </w:tr>
      <w:tr w:rsidR="009E4F38" w:rsidRPr="001049F3" w14:paraId="382F2FED" w14:textId="77777777" w:rsidTr="0061116F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14:paraId="382F2FEA" w14:textId="77777777" w:rsidR="009E4F38" w:rsidRPr="001049F3" w:rsidRDefault="009E4F38" w:rsidP="00517FB0">
            <w:pPr>
              <w:rPr>
                <w:b/>
                <w:bCs/>
              </w:rPr>
            </w:pPr>
          </w:p>
        </w:tc>
        <w:tc>
          <w:tcPr>
            <w:tcW w:w="7513" w:type="dxa"/>
            <w:noWrap/>
          </w:tcPr>
          <w:p w14:paraId="382F2FEB" w14:textId="33D116A3" w:rsidR="009E4F38" w:rsidRPr="005C1604" w:rsidRDefault="00F2081F" w:rsidP="00F2081F">
            <w:pPr>
              <w:rPr>
                <w:bCs/>
              </w:rPr>
            </w:pPr>
            <w:r>
              <w:t xml:space="preserve">Vakariniams renginiams </w:t>
            </w:r>
            <w:r w:rsidR="009E4F38" w:rsidRPr="00563CCF">
              <w:rPr>
                <w:bCs/>
              </w:rPr>
              <w:t>su</w:t>
            </w:r>
            <w:r w:rsidR="009E4F38">
              <w:rPr>
                <w:bCs/>
              </w:rPr>
              <w:t xml:space="preserve"> įranga (</w:t>
            </w:r>
            <w:r w:rsidR="009E4F38" w:rsidRPr="00563CCF">
              <w:rPr>
                <w:bCs/>
              </w:rPr>
              <w:t>kasdien nuo 15.00</w:t>
            </w:r>
            <w:r w:rsidR="009E4F38">
              <w:rPr>
                <w:bCs/>
              </w:rPr>
              <w:t> val.</w:t>
            </w:r>
            <w:r w:rsidR="009E4F38" w:rsidRPr="00563CCF">
              <w:rPr>
                <w:bCs/>
              </w:rPr>
              <w:t xml:space="preserve"> iki 21.00</w:t>
            </w:r>
            <w:r w:rsidR="009E4F38">
              <w:rPr>
                <w:bCs/>
              </w:rPr>
              <w:t xml:space="preserve"> val.</w:t>
            </w:r>
            <w:r>
              <w:rPr>
                <w:bCs/>
              </w:rPr>
              <w:t xml:space="preserve">, maksimali trukmė </w:t>
            </w:r>
            <w:r w:rsidR="00782336">
              <w:rPr>
                <w:bCs/>
              </w:rPr>
              <w:t xml:space="preserve">– </w:t>
            </w:r>
            <w:r>
              <w:rPr>
                <w:bCs/>
              </w:rPr>
              <w:t>6</w:t>
            </w:r>
            <w:r w:rsidRPr="00563CCF">
              <w:rPr>
                <w:bCs/>
              </w:rPr>
              <w:t xml:space="preserve"> val.</w:t>
            </w:r>
            <w:r w:rsidR="009E4F38" w:rsidRPr="00563CCF">
              <w:rPr>
                <w:bCs/>
              </w:rPr>
              <w:t>)</w:t>
            </w:r>
          </w:p>
        </w:tc>
        <w:tc>
          <w:tcPr>
            <w:tcW w:w="3543" w:type="dxa"/>
            <w:noWrap/>
          </w:tcPr>
          <w:p w14:paraId="382F2FEC" w14:textId="77777777" w:rsidR="009E4F38" w:rsidRPr="00952415" w:rsidRDefault="009E4F38" w:rsidP="0061116F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  <w:szCs w:val="22"/>
              </w:rPr>
              <w:t>289,62 Eur</w:t>
            </w:r>
            <w:r w:rsidRPr="00952415" w:rsidDel="005A7482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</w:tr>
      <w:tr w:rsidR="009E4F38" w:rsidRPr="001049F3" w14:paraId="382F2FF5" w14:textId="77777777" w:rsidTr="0061116F">
        <w:trPr>
          <w:trHeight w:val="255"/>
        </w:trPr>
        <w:tc>
          <w:tcPr>
            <w:tcW w:w="3970" w:type="dxa"/>
            <w:vMerge w:val="restart"/>
            <w:shd w:val="clear" w:color="auto" w:fill="D9D9D9" w:themeFill="background1" w:themeFillShade="D9"/>
            <w:noWrap/>
          </w:tcPr>
          <w:p w14:paraId="382F2FF2" w14:textId="77777777" w:rsidR="009E4F38" w:rsidRPr="001049F3" w:rsidRDefault="009E4F38" w:rsidP="00517FB0">
            <w:pPr>
              <w:rPr>
                <w:b/>
                <w:bCs/>
              </w:rPr>
            </w:pPr>
            <w:r w:rsidRPr="001049F3">
              <w:rPr>
                <w:b/>
                <w:bCs/>
              </w:rPr>
              <w:t>Konferencijų ir rengini</w:t>
            </w:r>
            <w:r>
              <w:rPr>
                <w:b/>
                <w:bCs/>
              </w:rPr>
              <w:t>ų</w:t>
            </w:r>
            <w:r w:rsidRPr="001049F3">
              <w:rPr>
                <w:b/>
                <w:bCs/>
              </w:rPr>
              <w:t xml:space="preserve"> salė</w:t>
            </w:r>
            <w:r>
              <w:rPr>
                <w:b/>
                <w:bCs/>
              </w:rPr>
              <w:t>s nuoma</w:t>
            </w:r>
            <w:r w:rsidRPr="001049F3">
              <w:rPr>
                <w:b/>
                <w:bCs/>
              </w:rPr>
              <w:t xml:space="preserve"> </w:t>
            </w:r>
          </w:p>
        </w:tc>
        <w:tc>
          <w:tcPr>
            <w:tcW w:w="7513" w:type="dxa"/>
            <w:noWrap/>
          </w:tcPr>
          <w:p w14:paraId="382F2FF3" w14:textId="775E2E6C" w:rsidR="009E4F38" w:rsidRPr="005C1604" w:rsidRDefault="009E4F38" w:rsidP="000F33F4">
            <w:pPr>
              <w:rPr>
                <w:bCs/>
              </w:rPr>
            </w:pPr>
            <w:r>
              <w:rPr>
                <w:bCs/>
              </w:rPr>
              <w:t>Visai d</w:t>
            </w:r>
            <w:r w:rsidRPr="005C1604">
              <w:rPr>
                <w:bCs/>
              </w:rPr>
              <w:t>ienai</w:t>
            </w:r>
            <w:r>
              <w:rPr>
                <w:bCs/>
              </w:rPr>
              <w:t xml:space="preserve"> </w:t>
            </w:r>
            <w:r w:rsidRPr="00563CCF">
              <w:rPr>
                <w:bCs/>
              </w:rPr>
              <w:t xml:space="preserve">(maksimali trukmė </w:t>
            </w:r>
            <w:r w:rsidR="00782336">
              <w:rPr>
                <w:bCs/>
              </w:rPr>
              <w:t xml:space="preserve">– </w:t>
            </w:r>
            <w:r w:rsidRPr="00563CCF">
              <w:rPr>
                <w:bCs/>
              </w:rPr>
              <w:t>10 val</w:t>
            </w:r>
            <w:r>
              <w:rPr>
                <w:bCs/>
              </w:rPr>
              <w:t>.)</w:t>
            </w:r>
          </w:p>
        </w:tc>
        <w:tc>
          <w:tcPr>
            <w:tcW w:w="3543" w:type="dxa"/>
            <w:noWrap/>
          </w:tcPr>
          <w:p w14:paraId="382F2FF4" w14:textId="77777777" w:rsidR="009E4F38" w:rsidRPr="00952415" w:rsidRDefault="009E4F38" w:rsidP="0061116F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153,79 Eur</w:t>
            </w:r>
            <w:r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</w:tr>
      <w:tr w:rsidR="009E4F38" w:rsidRPr="001049F3" w14:paraId="382F2FF9" w14:textId="77777777" w:rsidTr="0061116F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14:paraId="382F2FF6" w14:textId="77777777" w:rsidR="009E4F38" w:rsidRPr="001049F3" w:rsidRDefault="009E4F38" w:rsidP="00517FB0">
            <w:pPr>
              <w:rPr>
                <w:b/>
                <w:bCs/>
              </w:rPr>
            </w:pPr>
          </w:p>
        </w:tc>
        <w:tc>
          <w:tcPr>
            <w:tcW w:w="7513" w:type="dxa"/>
            <w:noWrap/>
          </w:tcPr>
          <w:p w14:paraId="382F2FF7" w14:textId="7327E2D0" w:rsidR="009E4F38" w:rsidRPr="005C1604" w:rsidRDefault="00F2081F" w:rsidP="00F2081F">
            <w:r>
              <w:rPr>
                <w:bCs/>
              </w:rPr>
              <w:t>R</w:t>
            </w:r>
            <w:r w:rsidR="009E4F38" w:rsidRPr="00563CCF">
              <w:rPr>
                <w:bCs/>
              </w:rPr>
              <w:t xml:space="preserve">epeticijoms (kasdien, maksimali trukmė </w:t>
            </w:r>
            <w:r w:rsidR="00782336">
              <w:rPr>
                <w:bCs/>
              </w:rPr>
              <w:t xml:space="preserve">– </w:t>
            </w:r>
            <w:r w:rsidR="009E4F38" w:rsidRPr="00563CCF">
              <w:rPr>
                <w:bCs/>
              </w:rPr>
              <w:t>4 val.)</w:t>
            </w:r>
          </w:p>
        </w:tc>
        <w:tc>
          <w:tcPr>
            <w:tcW w:w="3543" w:type="dxa"/>
            <w:noWrap/>
          </w:tcPr>
          <w:p w14:paraId="382F2FF8" w14:textId="77777777" w:rsidR="009E4F38" w:rsidRPr="00952415" w:rsidRDefault="009E4F38" w:rsidP="0061116F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43,44 Eur</w:t>
            </w:r>
            <w:r w:rsidRPr="00952415" w:rsidDel="000F33F4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</w:tr>
      <w:tr w:rsidR="009E4F38" w:rsidRPr="001049F3" w14:paraId="382F2FFD" w14:textId="77777777" w:rsidTr="0061116F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14:paraId="382F2FFA" w14:textId="77777777" w:rsidR="009E4F38" w:rsidRPr="001049F3" w:rsidRDefault="009E4F38" w:rsidP="00517FB0">
            <w:pPr>
              <w:rPr>
                <w:b/>
                <w:bCs/>
              </w:rPr>
            </w:pPr>
          </w:p>
        </w:tc>
        <w:tc>
          <w:tcPr>
            <w:tcW w:w="7513" w:type="dxa"/>
            <w:noWrap/>
          </w:tcPr>
          <w:p w14:paraId="382F2FFB" w14:textId="5C352FE2" w:rsidR="009E4F38" w:rsidRPr="005C1604" w:rsidRDefault="00F2081F" w:rsidP="00F2081F">
            <w:pPr>
              <w:rPr>
                <w:bCs/>
              </w:rPr>
            </w:pPr>
            <w:r>
              <w:rPr>
                <w:bCs/>
              </w:rPr>
              <w:t>R</w:t>
            </w:r>
            <w:r w:rsidR="009E4F38" w:rsidRPr="005A7482">
              <w:rPr>
                <w:bCs/>
              </w:rPr>
              <w:t xml:space="preserve">enginiams (kasdien, maksimali trukmė </w:t>
            </w:r>
            <w:r w:rsidR="00782336">
              <w:rPr>
                <w:bCs/>
              </w:rPr>
              <w:t xml:space="preserve">– </w:t>
            </w:r>
            <w:r w:rsidR="009E4F38" w:rsidRPr="005A7482">
              <w:rPr>
                <w:bCs/>
              </w:rPr>
              <w:t>4 val.)</w:t>
            </w:r>
          </w:p>
        </w:tc>
        <w:tc>
          <w:tcPr>
            <w:tcW w:w="3543" w:type="dxa"/>
            <w:noWrap/>
          </w:tcPr>
          <w:p w14:paraId="382F2FFC" w14:textId="77777777" w:rsidR="009E4F38" w:rsidRPr="00952415" w:rsidRDefault="009E4F38" w:rsidP="0061116F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86,89 Eur</w:t>
            </w:r>
            <w:r w:rsidRPr="00952415" w:rsidDel="000F33F4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</w:tr>
      <w:tr w:rsidR="009E4F38" w:rsidRPr="001049F3" w14:paraId="382F3001" w14:textId="77777777" w:rsidTr="0061116F">
        <w:trPr>
          <w:trHeight w:val="255"/>
        </w:trPr>
        <w:tc>
          <w:tcPr>
            <w:tcW w:w="3970" w:type="dxa"/>
            <w:vMerge w:val="restart"/>
            <w:shd w:val="clear" w:color="auto" w:fill="D9D9D9" w:themeFill="background1" w:themeFillShade="D9"/>
            <w:noWrap/>
          </w:tcPr>
          <w:p w14:paraId="6ED3C385" w14:textId="77777777" w:rsidR="00782336" w:rsidRDefault="009E4F38" w:rsidP="002B45DF">
            <w:pPr>
              <w:rPr>
                <w:b/>
                <w:bCs/>
              </w:rPr>
            </w:pPr>
            <w:r>
              <w:rPr>
                <w:b/>
                <w:bCs/>
              </w:rPr>
              <w:t>Repeticijų</w:t>
            </w:r>
            <w:r w:rsidR="0078233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</w:t>
            </w:r>
            <w:r w:rsidR="0078233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renginių salės nuoma </w:t>
            </w:r>
          </w:p>
          <w:p w14:paraId="382F2FFE" w14:textId="4D00A646" w:rsidR="009E4F38" w:rsidRPr="001049F3" w:rsidRDefault="009E4F38" w:rsidP="002B45DF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1049F3">
              <w:rPr>
                <w:b/>
                <w:bCs/>
              </w:rPr>
              <w:t>5 a.)</w:t>
            </w:r>
          </w:p>
        </w:tc>
        <w:tc>
          <w:tcPr>
            <w:tcW w:w="7513" w:type="dxa"/>
            <w:noWrap/>
          </w:tcPr>
          <w:p w14:paraId="382F2FFF" w14:textId="7F7AE7B6" w:rsidR="009E4F38" w:rsidRPr="005C1604" w:rsidRDefault="009E4F38" w:rsidP="000F33F4">
            <w:pPr>
              <w:rPr>
                <w:bCs/>
              </w:rPr>
            </w:pPr>
            <w:r>
              <w:rPr>
                <w:bCs/>
              </w:rPr>
              <w:t>Visai d</w:t>
            </w:r>
            <w:r w:rsidRPr="005C1604">
              <w:rPr>
                <w:bCs/>
              </w:rPr>
              <w:t>ienai</w:t>
            </w:r>
            <w:r>
              <w:rPr>
                <w:bCs/>
              </w:rPr>
              <w:t xml:space="preserve"> </w:t>
            </w:r>
            <w:r w:rsidRPr="00563CCF">
              <w:rPr>
                <w:bCs/>
              </w:rPr>
              <w:t xml:space="preserve">(maksimali trukmė </w:t>
            </w:r>
            <w:r w:rsidR="00782336">
              <w:rPr>
                <w:bCs/>
              </w:rPr>
              <w:t xml:space="preserve">– </w:t>
            </w:r>
            <w:r w:rsidRPr="00563CCF">
              <w:rPr>
                <w:bCs/>
              </w:rPr>
              <w:t>10 val</w:t>
            </w:r>
            <w:r>
              <w:rPr>
                <w:bCs/>
              </w:rPr>
              <w:t>.)</w:t>
            </w:r>
          </w:p>
        </w:tc>
        <w:tc>
          <w:tcPr>
            <w:tcW w:w="3543" w:type="dxa"/>
            <w:noWrap/>
          </w:tcPr>
          <w:p w14:paraId="382F3000" w14:textId="77777777" w:rsidR="009E4F38" w:rsidRPr="00952415" w:rsidRDefault="009E4F38" w:rsidP="0061116F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71,25 Eur</w:t>
            </w:r>
            <w:r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</w:tr>
      <w:tr w:rsidR="009E4F38" w:rsidRPr="001049F3" w14:paraId="382F3005" w14:textId="77777777" w:rsidTr="0061116F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14:paraId="382F3002" w14:textId="77777777" w:rsidR="009E4F38" w:rsidRPr="001049F3" w:rsidRDefault="009E4F38" w:rsidP="00517FB0">
            <w:pPr>
              <w:rPr>
                <w:b/>
                <w:bCs/>
              </w:rPr>
            </w:pPr>
          </w:p>
        </w:tc>
        <w:tc>
          <w:tcPr>
            <w:tcW w:w="7513" w:type="dxa"/>
            <w:noWrap/>
          </w:tcPr>
          <w:p w14:paraId="382F3003" w14:textId="29181F90" w:rsidR="009E4F38" w:rsidRPr="005C1604" w:rsidRDefault="00F2081F" w:rsidP="000F33F4">
            <w:r>
              <w:rPr>
                <w:bCs/>
              </w:rPr>
              <w:t>R</w:t>
            </w:r>
            <w:r w:rsidR="009E4F38" w:rsidRPr="00563CCF">
              <w:rPr>
                <w:bCs/>
              </w:rPr>
              <w:t xml:space="preserve">epeticijoms (kasdien, maksimali trukmė </w:t>
            </w:r>
            <w:r w:rsidR="00782336">
              <w:rPr>
                <w:bCs/>
              </w:rPr>
              <w:t xml:space="preserve">– </w:t>
            </w:r>
            <w:r w:rsidR="009E4F38" w:rsidRPr="00563CCF">
              <w:rPr>
                <w:bCs/>
              </w:rPr>
              <w:t>4 val.)</w:t>
            </w:r>
          </w:p>
        </w:tc>
        <w:tc>
          <w:tcPr>
            <w:tcW w:w="3543" w:type="dxa"/>
            <w:noWrap/>
          </w:tcPr>
          <w:p w14:paraId="382F3004" w14:textId="77777777" w:rsidR="009E4F38" w:rsidRPr="00952415" w:rsidRDefault="009E4F38" w:rsidP="0061116F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28,96 Eur</w:t>
            </w:r>
            <w:r w:rsidRPr="00952415" w:rsidDel="000F33F4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</w:tr>
      <w:tr w:rsidR="009E4F38" w:rsidRPr="001049F3" w14:paraId="382F3009" w14:textId="77777777" w:rsidTr="0061116F">
        <w:trPr>
          <w:trHeight w:val="255"/>
        </w:trPr>
        <w:tc>
          <w:tcPr>
            <w:tcW w:w="3970" w:type="dxa"/>
            <w:vMerge/>
            <w:shd w:val="clear" w:color="auto" w:fill="D9D9D9" w:themeFill="background1" w:themeFillShade="D9"/>
            <w:noWrap/>
          </w:tcPr>
          <w:p w14:paraId="382F3006" w14:textId="77777777" w:rsidR="009E4F38" w:rsidRPr="001049F3" w:rsidRDefault="009E4F38" w:rsidP="00517FB0">
            <w:pPr>
              <w:rPr>
                <w:b/>
                <w:bCs/>
              </w:rPr>
            </w:pPr>
          </w:p>
        </w:tc>
        <w:tc>
          <w:tcPr>
            <w:tcW w:w="7513" w:type="dxa"/>
            <w:noWrap/>
          </w:tcPr>
          <w:p w14:paraId="382F3007" w14:textId="1D7FA743" w:rsidR="009E4F38" w:rsidRPr="005C1604" w:rsidRDefault="00F2081F" w:rsidP="000F33F4">
            <w:pPr>
              <w:rPr>
                <w:bCs/>
              </w:rPr>
            </w:pPr>
            <w:r>
              <w:rPr>
                <w:bCs/>
              </w:rPr>
              <w:t>R</w:t>
            </w:r>
            <w:r w:rsidR="009E4F38" w:rsidRPr="005A7482">
              <w:rPr>
                <w:bCs/>
              </w:rPr>
              <w:t xml:space="preserve">enginiams (kasdien, maksimali trukmė </w:t>
            </w:r>
            <w:r w:rsidR="00782336">
              <w:rPr>
                <w:bCs/>
              </w:rPr>
              <w:t xml:space="preserve">– </w:t>
            </w:r>
            <w:r w:rsidR="009E4F38" w:rsidRPr="005A7482">
              <w:rPr>
                <w:bCs/>
              </w:rPr>
              <w:t>4 val.)</w:t>
            </w:r>
          </w:p>
        </w:tc>
        <w:tc>
          <w:tcPr>
            <w:tcW w:w="3543" w:type="dxa"/>
            <w:noWrap/>
          </w:tcPr>
          <w:p w14:paraId="382F3008" w14:textId="77777777" w:rsidR="009E4F38" w:rsidRPr="00952415" w:rsidRDefault="009E4F38" w:rsidP="0061116F">
            <w:pPr>
              <w:jc w:val="center"/>
              <w:rPr>
                <w:b/>
                <w:bCs/>
              </w:rPr>
            </w:pPr>
            <w:r w:rsidRPr="00952415">
              <w:rPr>
                <w:b/>
                <w:bCs/>
              </w:rPr>
              <w:t>43,44 Eur</w:t>
            </w:r>
            <w:r w:rsidRPr="00952415" w:rsidDel="000F33F4">
              <w:rPr>
                <w:b/>
                <w:bCs/>
              </w:rPr>
              <w:t xml:space="preserve"> </w:t>
            </w:r>
            <w:r w:rsidRPr="00952415">
              <w:rPr>
                <w:b/>
                <w:bCs/>
              </w:rPr>
              <w:t>(be PVM)</w:t>
            </w:r>
          </w:p>
        </w:tc>
      </w:tr>
    </w:tbl>
    <w:p w14:paraId="382F300E" w14:textId="0CAD0524" w:rsidR="00665769" w:rsidRDefault="001049F3">
      <w:pPr>
        <w:rPr>
          <w:b/>
        </w:rPr>
      </w:pPr>
      <w:r w:rsidRPr="001049F3">
        <w:rPr>
          <w:b/>
        </w:rPr>
        <w:t xml:space="preserve">* Į </w:t>
      </w:r>
      <w:r w:rsidR="00EF6072">
        <w:rPr>
          <w:b/>
        </w:rPr>
        <w:t xml:space="preserve">inkubatoriaus </w:t>
      </w:r>
      <w:r w:rsidRPr="001049F3">
        <w:rPr>
          <w:b/>
        </w:rPr>
        <w:t xml:space="preserve">biuro ar studijos nuomą įskaičiuotas ir </w:t>
      </w:r>
      <w:r w:rsidR="00EF6072">
        <w:rPr>
          <w:b/>
        </w:rPr>
        <w:t xml:space="preserve">atskirai </w:t>
      </w:r>
      <w:r w:rsidRPr="001049F3">
        <w:rPr>
          <w:b/>
        </w:rPr>
        <w:t>ne</w:t>
      </w:r>
      <w:r w:rsidR="00EF6072">
        <w:rPr>
          <w:b/>
        </w:rPr>
        <w:t>apmokestinamas</w:t>
      </w:r>
      <w:r w:rsidRPr="001049F3">
        <w:rPr>
          <w:b/>
        </w:rPr>
        <w:t xml:space="preserve"> bendrų susitikimų erdvių, seminaro salės, eksploatuojamo stogo ir vestibiulių naudojimas sutartimi nustatytą laiką</w:t>
      </w:r>
      <w:r w:rsidR="009706A7">
        <w:rPr>
          <w:b/>
        </w:rPr>
        <w:t>.</w:t>
      </w:r>
      <w:r w:rsidR="00F2081F" w:rsidRPr="00F2081F">
        <w:rPr>
          <w:b/>
        </w:rPr>
        <w:t xml:space="preserve"> </w:t>
      </w:r>
      <w:r w:rsidR="00F2081F" w:rsidRPr="00486C3B">
        <w:rPr>
          <w:b/>
        </w:rPr>
        <w:t>Rezidentams, ne PVM mokėtojams</w:t>
      </w:r>
      <w:r w:rsidR="00F2081F">
        <w:rPr>
          <w:b/>
        </w:rPr>
        <w:t>,</w:t>
      </w:r>
      <w:r w:rsidR="00F2081F" w:rsidRPr="00486C3B">
        <w:rPr>
          <w:b/>
        </w:rPr>
        <w:t xml:space="preserve"> visų salių nuomos paslaugai PVM neskaičiuojamas.</w:t>
      </w:r>
    </w:p>
    <w:p w14:paraId="5C41E432" w14:textId="77777777" w:rsidR="009706A7" w:rsidRDefault="009706A7">
      <w:pPr>
        <w:rPr>
          <w:b/>
        </w:rPr>
      </w:pPr>
    </w:p>
    <w:p w14:paraId="2762F61B" w14:textId="1A883869" w:rsidR="009706A7" w:rsidRPr="009706A7" w:rsidRDefault="009706A7" w:rsidP="009706A7">
      <w:pPr>
        <w:jc w:val="center"/>
      </w:pPr>
      <w:r>
        <w:t>________________________________</w:t>
      </w:r>
    </w:p>
    <w:sectPr w:rsidR="009706A7" w:rsidRPr="009706A7" w:rsidSect="00952415">
      <w:headerReference w:type="even" r:id="rId8"/>
      <w:headerReference w:type="default" r:id="rId9"/>
      <w:pgSz w:w="16838" w:h="11906" w:orient="landscape" w:code="9"/>
      <w:pgMar w:top="1418" w:right="567" w:bottom="1134" w:left="1134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7778A" w14:textId="77777777" w:rsidR="00FF0051" w:rsidRDefault="00FF0051" w:rsidP="006C054E">
      <w:r>
        <w:separator/>
      </w:r>
    </w:p>
  </w:endnote>
  <w:endnote w:type="continuationSeparator" w:id="0">
    <w:p w14:paraId="6ED3472D" w14:textId="77777777" w:rsidR="00FF0051" w:rsidRDefault="00FF0051" w:rsidP="006C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6E471" w14:textId="77777777" w:rsidR="00FF0051" w:rsidRDefault="00FF0051" w:rsidP="006C054E">
      <w:r>
        <w:separator/>
      </w:r>
    </w:p>
  </w:footnote>
  <w:footnote w:type="continuationSeparator" w:id="0">
    <w:p w14:paraId="25CFCDC3" w14:textId="77777777" w:rsidR="00FF0051" w:rsidRDefault="00FF0051" w:rsidP="006C0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F3013" w14:textId="77777777" w:rsidR="00665769" w:rsidRDefault="00387741" w:rsidP="00F0181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66576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2F3014" w14:textId="77777777" w:rsidR="00665769" w:rsidRDefault="00665769" w:rsidP="00F01811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F3015" w14:textId="77777777" w:rsidR="00665769" w:rsidRDefault="0038774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87978">
      <w:rPr>
        <w:noProof/>
      </w:rPr>
      <w:t>2</w:t>
    </w:r>
    <w:r>
      <w:fldChar w:fldCharType="end"/>
    </w:r>
  </w:p>
  <w:p w14:paraId="382F3016" w14:textId="77777777" w:rsidR="00665769" w:rsidRDefault="0066576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69D"/>
    <w:multiLevelType w:val="multilevel"/>
    <w:tmpl w:val="E8AEF28A"/>
    <w:lvl w:ilvl="0">
      <w:start w:val="1"/>
      <w:numFmt w:val="decimalZero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ind w:left="615" w:hanging="615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15E6C3D"/>
    <w:multiLevelType w:val="hybridMultilevel"/>
    <w:tmpl w:val="0C5EF418"/>
    <w:lvl w:ilvl="0" w:tplc="7908A9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E7F88"/>
    <w:multiLevelType w:val="hybridMultilevel"/>
    <w:tmpl w:val="C0B6B8F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287957CD"/>
    <w:multiLevelType w:val="multilevel"/>
    <w:tmpl w:val="5058B00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7FC77CB"/>
    <w:multiLevelType w:val="multilevel"/>
    <w:tmpl w:val="FEC0A83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cs="Times New Roman" w:hint="default"/>
        <w:color w:val="595959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19"/>
    <w:rsid w:val="00033851"/>
    <w:rsid w:val="000341C2"/>
    <w:rsid w:val="00045731"/>
    <w:rsid w:val="00050FF7"/>
    <w:rsid w:val="00073BBB"/>
    <w:rsid w:val="00092638"/>
    <w:rsid w:val="000D4D9E"/>
    <w:rsid w:val="000F33F4"/>
    <w:rsid w:val="000F6B80"/>
    <w:rsid w:val="001049F3"/>
    <w:rsid w:val="00104AD3"/>
    <w:rsid w:val="0011073B"/>
    <w:rsid w:val="00120F0C"/>
    <w:rsid w:val="0017641C"/>
    <w:rsid w:val="00184585"/>
    <w:rsid w:val="00191728"/>
    <w:rsid w:val="001A66F2"/>
    <w:rsid w:val="001B5A0A"/>
    <w:rsid w:val="001C74FE"/>
    <w:rsid w:val="001E4D22"/>
    <w:rsid w:val="001E56AD"/>
    <w:rsid w:val="00216E85"/>
    <w:rsid w:val="00220D27"/>
    <w:rsid w:val="0022676B"/>
    <w:rsid w:val="00232793"/>
    <w:rsid w:val="00255ABD"/>
    <w:rsid w:val="0026565C"/>
    <w:rsid w:val="002B45DF"/>
    <w:rsid w:val="002C168D"/>
    <w:rsid w:val="00325358"/>
    <w:rsid w:val="00353F53"/>
    <w:rsid w:val="00387741"/>
    <w:rsid w:val="003A3D04"/>
    <w:rsid w:val="00406C79"/>
    <w:rsid w:val="004448EA"/>
    <w:rsid w:val="00444B30"/>
    <w:rsid w:val="00466848"/>
    <w:rsid w:val="004673BD"/>
    <w:rsid w:val="0048473D"/>
    <w:rsid w:val="004E566E"/>
    <w:rsid w:val="005017FE"/>
    <w:rsid w:val="00517FB0"/>
    <w:rsid w:val="005344D1"/>
    <w:rsid w:val="005620C2"/>
    <w:rsid w:val="00563CCF"/>
    <w:rsid w:val="005947EE"/>
    <w:rsid w:val="00597311"/>
    <w:rsid w:val="005A7482"/>
    <w:rsid w:val="005A74A9"/>
    <w:rsid w:val="005B750F"/>
    <w:rsid w:val="005C1604"/>
    <w:rsid w:val="0061116F"/>
    <w:rsid w:val="00620B66"/>
    <w:rsid w:val="00635959"/>
    <w:rsid w:val="00653062"/>
    <w:rsid w:val="00665769"/>
    <w:rsid w:val="0067055C"/>
    <w:rsid w:val="00685888"/>
    <w:rsid w:val="006C054E"/>
    <w:rsid w:val="00730543"/>
    <w:rsid w:val="00730B7E"/>
    <w:rsid w:val="0075210E"/>
    <w:rsid w:val="00752455"/>
    <w:rsid w:val="00763A4B"/>
    <w:rsid w:val="00772544"/>
    <w:rsid w:val="00782336"/>
    <w:rsid w:val="00795FBC"/>
    <w:rsid w:val="007A01D7"/>
    <w:rsid w:val="007F6435"/>
    <w:rsid w:val="00812866"/>
    <w:rsid w:val="00827CE6"/>
    <w:rsid w:val="00832AF1"/>
    <w:rsid w:val="00833C19"/>
    <w:rsid w:val="00874D2A"/>
    <w:rsid w:val="008807AD"/>
    <w:rsid w:val="00884630"/>
    <w:rsid w:val="00904311"/>
    <w:rsid w:val="00907F66"/>
    <w:rsid w:val="00925EFC"/>
    <w:rsid w:val="00952415"/>
    <w:rsid w:val="009676CE"/>
    <w:rsid w:val="009706A7"/>
    <w:rsid w:val="00972D5D"/>
    <w:rsid w:val="00977B86"/>
    <w:rsid w:val="009A4D3B"/>
    <w:rsid w:val="009A51D7"/>
    <w:rsid w:val="009E4F38"/>
    <w:rsid w:val="009F20BC"/>
    <w:rsid w:val="009F7A66"/>
    <w:rsid w:val="00A4287C"/>
    <w:rsid w:val="00A43866"/>
    <w:rsid w:val="00A50178"/>
    <w:rsid w:val="00A76F91"/>
    <w:rsid w:val="00AA7765"/>
    <w:rsid w:val="00AC78A0"/>
    <w:rsid w:val="00AE5AEF"/>
    <w:rsid w:val="00B03B3B"/>
    <w:rsid w:val="00B2557E"/>
    <w:rsid w:val="00B87978"/>
    <w:rsid w:val="00B96439"/>
    <w:rsid w:val="00B96607"/>
    <w:rsid w:val="00BB089D"/>
    <w:rsid w:val="00BB1ADC"/>
    <w:rsid w:val="00BB4F9A"/>
    <w:rsid w:val="00C020CA"/>
    <w:rsid w:val="00C23554"/>
    <w:rsid w:val="00C27FA9"/>
    <w:rsid w:val="00C45B78"/>
    <w:rsid w:val="00C507BB"/>
    <w:rsid w:val="00C65AD8"/>
    <w:rsid w:val="00C666B4"/>
    <w:rsid w:val="00C878BB"/>
    <w:rsid w:val="00CB06F4"/>
    <w:rsid w:val="00CD5B43"/>
    <w:rsid w:val="00CF298C"/>
    <w:rsid w:val="00D037D7"/>
    <w:rsid w:val="00D0454B"/>
    <w:rsid w:val="00D10B50"/>
    <w:rsid w:val="00D30769"/>
    <w:rsid w:val="00D73B92"/>
    <w:rsid w:val="00D95341"/>
    <w:rsid w:val="00DC6CA4"/>
    <w:rsid w:val="00E0519D"/>
    <w:rsid w:val="00E06260"/>
    <w:rsid w:val="00E56AF8"/>
    <w:rsid w:val="00E756A2"/>
    <w:rsid w:val="00EB0317"/>
    <w:rsid w:val="00EE115A"/>
    <w:rsid w:val="00EF2B05"/>
    <w:rsid w:val="00EF35C2"/>
    <w:rsid w:val="00EF6072"/>
    <w:rsid w:val="00F01811"/>
    <w:rsid w:val="00F2081F"/>
    <w:rsid w:val="00F44276"/>
    <w:rsid w:val="00FA4A32"/>
    <w:rsid w:val="00FF0051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F2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3C1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33C19"/>
    <w:pPr>
      <w:tabs>
        <w:tab w:val="center" w:pos="4320"/>
        <w:tab w:val="right" w:pos="8640"/>
      </w:tabs>
    </w:pPr>
    <w:rPr>
      <w:szCs w:val="20"/>
    </w:rPr>
  </w:style>
  <w:style w:type="character" w:customStyle="1" w:styleId="AntratsDiagrama">
    <w:name w:val="Antraštės Diagrama"/>
    <w:link w:val="Antrats"/>
    <w:uiPriority w:val="99"/>
    <w:locked/>
    <w:rsid w:val="00833C19"/>
    <w:rPr>
      <w:rFonts w:ascii="Times New Roman" w:hAnsi="Times New Roman" w:cs="Times New Roman"/>
      <w:sz w:val="20"/>
      <w:szCs w:val="20"/>
      <w:lang w:val="lt-LT"/>
    </w:rPr>
  </w:style>
  <w:style w:type="character" w:styleId="Puslapionumeris">
    <w:name w:val="page number"/>
    <w:uiPriority w:val="99"/>
    <w:rsid w:val="00833C19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833C1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972D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2D5D"/>
    <w:rPr>
      <w:rFonts w:ascii="Tahoma" w:hAnsi="Tahoma" w:cs="Tahoma"/>
      <w:sz w:val="16"/>
      <w:szCs w:val="16"/>
      <w:lang w:val="lt-LT"/>
    </w:rPr>
  </w:style>
  <w:style w:type="paragraph" w:styleId="Porat">
    <w:name w:val="footer"/>
    <w:basedOn w:val="prastasis"/>
    <w:link w:val="PoratDiagrama"/>
    <w:uiPriority w:val="99"/>
    <w:rsid w:val="00907F6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907F66"/>
    <w:rPr>
      <w:rFonts w:ascii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locked/>
    <w:rsid w:val="00A428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C16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16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160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16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1604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3C1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33C19"/>
    <w:pPr>
      <w:tabs>
        <w:tab w:val="center" w:pos="4320"/>
        <w:tab w:val="right" w:pos="8640"/>
      </w:tabs>
    </w:pPr>
    <w:rPr>
      <w:szCs w:val="20"/>
    </w:rPr>
  </w:style>
  <w:style w:type="character" w:customStyle="1" w:styleId="AntratsDiagrama">
    <w:name w:val="Antraštės Diagrama"/>
    <w:link w:val="Antrats"/>
    <w:uiPriority w:val="99"/>
    <w:locked/>
    <w:rsid w:val="00833C19"/>
    <w:rPr>
      <w:rFonts w:ascii="Times New Roman" w:hAnsi="Times New Roman" w:cs="Times New Roman"/>
      <w:sz w:val="20"/>
      <w:szCs w:val="20"/>
      <w:lang w:val="lt-LT"/>
    </w:rPr>
  </w:style>
  <w:style w:type="character" w:styleId="Puslapionumeris">
    <w:name w:val="page number"/>
    <w:uiPriority w:val="99"/>
    <w:rsid w:val="00833C19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833C1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972D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2D5D"/>
    <w:rPr>
      <w:rFonts w:ascii="Tahoma" w:hAnsi="Tahoma" w:cs="Tahoma"/>
      <w:sz w:val="16"/>
      <w:szCs w:val="16"/>
      <w:lang w:val="lt-LT"/>
    </w:rPr>
  </w:style>
  <w:style w:type="paragraph" w:styleId="Porat">
    <w:name w:val="footer"/>
    <w:basedOn w:val="prastasis"/>
    <w:link w:val="PoratDiagrama"/>
    <w:uiPriority w:val="99"/>
    <w:rsid w:val="00907F6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907F66"/>
    <w:rPr>
      <w:rFonts w:ascii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locked/>
    <w:rsid w:val="00A428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C16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160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160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16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1604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TURIZMO IR KULTŪROS INFORMACIJOS CENTRO TEIKIAMŲ KEMPINGO PASLAUGŲ ĮKAINIAI</vt:lpstr>
      <vt:lpstr>KLAIPĖDOS TURIZMO IR KULTŪROS INFORMACIJOS CENTRO TEIKIAMŲ KEMPINGO PASLAUGŲ ĮKAINIAI </vt:lpstr>
    </vt:vector>
  </TitlesOfParts>
  <Manager>2013-05-30</Manager>
  <Company>TIC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TURIZMO IR KULTŪROS INFORMACIJOS CENTRO TEIKIAMŲ KEMPINGO PASLAUGŲ ĮKAINIAI</dc:title>
  <dc:subject>T2-128</dc:subject>
  <dc:creator>KLAIPĖDOS MIESTO SAVIVALDYBĖS TARYBA</dc:creator>
  <cp:lastModifiedBy>Virginija Palaimiene</cp:lastModifiedBy>
  <cp:revision>2</cp:revision>
  <cp:lastPrinted>2014-09-01T07:29:00Z</cp:lastPrinted>
  <dcterms:created xsi:type="dcterms:W3CDTF">2014-10-27T11:21:00Z</dcterms:created>
  <dcterms:modified xsi:type="dcterms:W3CDTF">2014-10-27T11:21:00Z</dcterms:modified>
  <cp:category>PRIEDAS</cp:category>
</cp:coreProperties>
</file>