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F833B1" w:rsidRPr="00B83A2B" w:rsidTr="0006079E">
        <w:tc>
          <w:tcPr>
            <w:tcW w:w="3209" w:type="dxa"/>
          </w:tcPr>
          <w:p w:rsidR="0006079E" w:rsidRPr="00B83A2B" w:rsidRDefault="0006079E" w:rsidP="0006079E">
            <w:pPr>
              <w:tabs>
                <w:tab w:val="left" w:pos="5070"/>
                <w:tab w:val="left" w:pos="5366"/>
                <w:tab w:val="left" w:pos="6771"/>
                <w:tab w:val="left" w:pos="7363"/>
              </w:tabs>
              <w:jc w:val="both"/>
            </w:pPr>
            <w:bookmarkStart w:id="0" w:name="_GoBack"/>
            <w:bookmarkEnd w:id="0"/>
            <w:r w:rsidRPr="00B83A2B">
              <w:t>PATVIRTINTA</w:t>
            </w:r>
          </w:p>
        </w:tc>
      </w:tr>
      <w:tr w:rsidR="00F833B1" w:rsidRPr="00B83A2B" w:rsidTr="0006079E">
        <w:tc>
          <w:tcPr>
            <w:tcW w:w="3209" w:type="dxa"/>
          </w:tcPr>
          <w:p w:rsidR="0006079E" w:rsidRPr="00B83A2B" w:rsidRDefault="0006079E" w:rsidP="0006079E">
            <w:r w:rsidRPr="00B83A2B">
              <w:t>Klaipėdos miesto savivaldybės</w:t>
            </w:r>
          </w:p>
        </w:tc>
      </w:tr>
      <w:tr w:rsidR="00F833B1" w:rsidRPr="00B83A2B" w:rsidTr="0006079E">
        <w:tc>
          <w:tcPr>
            <w:tcW w:w="3209" w:type="dxa"/>
          </w:tcPr>
          <w:p w:rsidR="0006079E" w:rsidRPr="00B83A2B" w:rsidRDefault="0006079E" w:rsidP="0006079E">
            <w:r w:rsidRPr="00B83A2B">
              <w:t xml:space="preserve">tarybos </w:t>
            </w:r>
            <w:bookmarkStart w:id="1" w:name="registravimoDataIlga"/>
            <w:r w:rsidRPr="00B83A2B">
              <w:rPr>
                <w:noProof/>
              </w:rPr>
              <w:fldChar w:fldCharType="begin">
                <w:ffData>
                  <w:name w:val="registravimoDataIlga"/>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2014 m. gruodžio 18 d.</w:t>
            </w:r>
            <w:r w:rsidRPr="00B83A2B">
              <w:rPr>
                <w:noProof/>
              </w:rPr>
              <w:fldChar w:fldCharType="end"/>
            </w:r>
            <w:bookmarkEnd w:id="1"/>
          </w:p>
        </w:tc>
      </w:tr>
      <w:tr w:rsidR="0024634C" w:rsidRPr="00B83A2B" w:rsidTr="0006079E">
        <w:tc>
          <w:tcPr>
            <w:tcW w:w="3209" w:type="dxa"/>
          </w:tcPr>
          <w:p w:rsidR="0006079E" w:rsidRPr="00B83A2B" w:rsidRDefault="0006079E" w:rsidP="008E6E82">
            <w:pPr>
              <w:tabs>
                <w:tab w:val="left" w:pos="5070"/>
                <w:tab w:val="left" w:pos="5366"/>
                <w:tab w:val="left" w:pos="6771"/>
                <w:tab w:val="left" w:pos="7363"/>
              </w:tabs>
            </w:pPr>
            <w:r w:rsidRPr="00B83A2B">
              <w:t xml:space="preserve">sprendimu Nr. </w:t>
            </w:r>
            <w:bookmarkStart w:id="2" w:name="dokumentoNr"/>
            <w:r w:rsidRPr="00B83A2B">
              <w:rPr>
                <w:noProof/>
              </w:rPr>
              <w:fldChar w:fldCharType="begin">
                <w:ffData>
                  <w:name w:val="dokumentoNr"/>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T2-336</w:t>
            </w:r>
            <w:r w:rsidRPr="00B83A2B">
              <w:rPr>
                <w:noProof/>
              </w:rPr>
              <w:fldChar w:fldCharType="end"/>
            </w:r>
            <w:bookmarkEnd w:id="2"/>
          </w:p>
        </w:tc>
      </w:tr>
    </w:tbl>
    <w:p w:rsidR="0006079E" w:rsidRPr="00B83A2B" w:rsidRDefault="0006079E" w:rsidP="0006079E">
      <w:pPr>
        <w:jc w:val="center"/>
      </w:pPr>
    </w:p>
    <w:p w:rsidR="00C25EA8" w:rsidRPr="00B83A2B" w:rsidRDefault="00C25EA8" w:rsidP="003730BE">
      <w:pPr>
        <w:jc w:val="center"/>
        <w:outlineLvl w:val="0"/>
        <w:rPr>
          <w:b/>
          <w:bCs/>
          <w:caps/>
        </w:rPr>
      </w:pPr>
    </w:p>
    <w:p w:rsidR="003730BE" w:rsidRPr="00B83A2B" w:rsidRDefault="003730BE" w:rsidP="003730BE">
      <w:pPr>
        <w:jc w:val="center"/>
        <w:outlineLvl w:val="0"/>
        <w:rPr>
          <w:b/>
          <w:bCs/>
          <w:caps/>
        </w:rPr>
      </w:pPr>
      <w:r w:rsidRPr="00B83A2B">
        <w:rPr>
          <w:b/>
          <w:bCs/>
          <w:caps/>
        </w:rPr>
        <w:t xml:space="preserve">KLAIPĖDOS MIESTO SAVIVALDYBĖS </w:t>
      </w:r>
    </w:p>
    <w:p w:rsidR="003730BE" w:rsidRPr="00B83A2B" w:rsidRDefault="003730BE" w:rsidP="003730BE">
      <w:pPr>
        <w:pStyle w:val="Antrats"/>
        <w:spacing w:before="0" w:beforeAutospacing="0" w:after="0" w:afterAutospacing="0"/>
        <w:jc w:val="center"/>
        <w:rPr>
          <w:b/>
          <w:caps/>
        </w:rPr>
      </w:pPr>
      <w:r w:rsidRPr="00B83A2B">
        <w:rPr>
          <w:b/>
          <w:caps/>
        </w:rPr>
        <w:t xml:space="preserve">Ugdymo proceso užtikrinimo </w:t>
      </w:r>
      <w:r w:rsidRPr="00B83A2B">
        <w:rPr>
          <w:b/>
        </w:rPr>
        <w:t>PROGRAMOS (NR. 10)</w:t>
      </w:r>
      <w:r w:rsidRPr="00B83A2B">
        <w:rPr>
          <w:b/>
          <w:bCs/>
          <w:caps/>
        </w:rPr>
        <w:t xml:space="preserve"> </w:t>
      </w:r>
      <w:r w:rsidRPr="00B83A2B">
        <w:rPr>
          <w:b/>
          <w:caps/>
        </w:rPr>
        <w:t>APRAŠYMAS</w:t>
      </w:r>
    </w:p>
    <w:p w:rsidR="003730BE" w:rsidRPr="00B83A2B" w:rsidRDefault="003730BE" w:rsidP="003730BE">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604"/>
        <w:gridCol w:w="232"/>
        <w:gridCol w:w="2268"/>
        <w:gridCol w:w="335"/>
        <w:gridCol w:w="849"/>
        <w:gridCol w:w="144"/>
        <w:gridCol w:w="307"/>
        <w:gridCol w:w="500"/>
        <w:gridCol w:w="23"/>
        <w:gridCol w:w="20"/>
        <w:gridCol w:w="851"/>
        <w:gridCol w:w="41"/>
        <w:gridCol w:w="84"/>
        <w:gridCol w:w="79"/>
        <w:gridCol w:w="578"/>
        <w:gridCol w:w="11"/>
      </w:tblGrid>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Biudžetiniai metai</w:t>
            </w:r>
          </w:p>
        </w:tc>
        <w:tc>
          <w:tcPr>
            <w:tcW w:w="6926" w:type="dxa"/>
            <w:gridSpan w:val="16"/>
          </w:tcPr>
          <w:p w:rsidR="003730BE" w:rsidRPr="00B83A2B" w:rsidRDefault="00837ADA" w:rsidP="00922CDB">
            <w:pPr>
              <w:rPr>
                <w:b/>
              </w:rPr>
            </w:pPr>
            <w:r w:rsidRPr="00B83A2B">
              <w:rPr>
                <w:b/>
              </w:rPr>
              <w:t>2015</w:t>
            </w:r>
            <w:r w:rsidR="003730BE" w:rsidRPr="00B83A2B">
              <w:rPr>
                <w:b/>
              </w:rPr>
              <w:t>-ieji metai</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 xml:space="preserve">Asignavimų valdytojas </w:t>
            </w:r>
          </w:p>
          <w:p w:rsidR="003730BE" w:rsidRPr="00B83A2B" w:rsidRDefault="003730BE" w:rsidP="00922CDB">
            <w:pPr>
              <w:rPr>
                <w:b/>
              </w:rPr>
            </w:pPr>
            <w:r w:rsidRPr="00B83A2B">
              <w:rPr>
                <w:b/>
              </w:rPr>
              <w:t xml:space="preserve">(-ai), kodas </w:t>
            </w:r>
          </w:p>
        </w:tc>
        <w:tc>
          <w:tcPr>
            <w:tcW w:w="6926" w:type="dxa"/>
            <w:gridSpan w:val="16"/>
          </w:tcPr>
          <w:p w:rsidR="003730BE" w:rsidRPr="00B83A2B" w:rsidRDefault="003730BE" w:rsidP="00922CDB">
            <w:r w:rsidRPr="00B83A2B">
              <w:t>Ugdymo ir kultūros departamentas, 2</w:t>
            </w:r>
          </w:p>
          <w:p w:rsidR="003730BE" w:rsidRPr="00B83A2B" w:rsidRDefault="003730BE" w:rsidP="00922CDB">
            <w:r w:rsidRPr="00B83A2B">
              <w:t>Investicijų ir ekonomikos departamentas, 5</w:t>
            </w:r>
          </w:p>
          <w:p w:rsidR="003730BE" w:rsidRPr="00B83A2B" w:rsidRDefault="003730BE" w:rsidP="00922CDB">
            <w:r w:rsidRPr="00B83A2B">
              <w:t>Miesto ūkio departamentas, 6</w:t>
            </w:r>
          </w:p>
        </w:tc>
      </w:tr>
      <w:tr w:rsidR="00F833B1" w:rsidRPr="00B83A2B" w:rsidTr="00F42437">
        <w:trPr>
          <w:gridBefore w:val="1"/>
          <w:wBefore w:w="32" w:type="dxa"/>
        </w:trPr>
        <w:tc>
          <w:tcPr>
            <w:tcW w:w="2908" w:type="dxa"/>
            <w:gridSpan w:val="2"/>
          </w:tcPr>
          <w:p w:rsidR="003730BE" w:rsidRPr="00B83A2B" w:rsidRDefault="003730BE" w:rsidP="005271FC">
            <w:pPr>
              <w:rPr>
                <w:b/>
              </w:rPr>
            </w:pPr>
            <w:r w:rsidRPr="00B83A2B">
              <w:rPr>
                <w:b/>
              </w:rPr>
              <w:t>Programos pavadinimas</w:t>
            </w:r>
          </w:p>
        </w:tc>
        <w:tc>
          <w:tcPr>
            <w:tcW w:w="4739" w:type="dxa"/>
            <w:gridSpan w:val="7"/>
          </w:tcPr>
          <w:p w:rsidR="003730BE" w:rsidRPr="00B83A2B" w:rsidRDefault="003730BE" w:rsidP="005271FC">
            <w:r w:rsidRPr="00B83A2B">
              <w:rPr>
                <w:b/>
              </w:rPr>
              <w:t>Ugdymo proceso užtikrinimo programa</w:t>
            </w:r>
          </w:p>
        </w:tc>
        <w:tc>
          <w:tcPr>
            <w:tcW w:w="1519" w:type="dxa"/>
            <w:gridSpan w:val="6"/>
          </w:tcPr>
          <w:p w:rsidR="003730BE" w:rsidRPr="00B83A2B" w:rsidRDefault="003730BE" w:rsidP="005271FC">
            <w:pPr>
              <w:rPr>
                <w:b/>
              </w:rPr>
            </w:pPr>
            <w:r w:rsidRPr="00B83A2B">
              <w:rPr>
                <w:b/>
              </w:rPr>
              <w:t>Kodas</w:t>
            </w:r>
          </w:p>
        </w:tc>
        <w:tc>
          <w:tcPr>
            <w:tcW w:w="668" w:type="dxa"/>
            <w:gridSpan w:val="3"/>
          </w:tcPr>
          <w:p w:rsidR="003730BE" w:rsidRPr="00B83A2B" w:rsidRDefault="003730BE" w:rsidP="005271FC">
            <w:r w:rsidRPr="00B83A2B">
              <w:rPr>
                <w:b/>
              </w:rPr>
              <w:t>10</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Programos parengimo argumentai</w:t>
            </w:r>
          </w:p>
        </w:tc>
        <w:tc>
          <w:tcPr>
            <w:tcW w:w="6926" w:type="dxa"/>
            <w:gridSpan w:val="16"/>
          </w:tcPr>
          <w:p w:rsidR="003730BE" w:rsidRPr="00B83A2B" w:rsidRDefault="003730BE" w:rsidP="00922CDB">
            <w:pPr>
              <w:jc w:val="both"/>
            </w:pPr>
            <w:r w:rsidRPr="00B83A2B">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3730BE" w:rsidRPr="00B83A2B" w:rsidRDefault="003730BE" w:rsidP="00922CDB">
            <w:pPr>
              <w:jc w:val="both"/>
            </w:pPr>
            <w:r w:rsidRPr="00B83A2B">
              <w:t xml:space="preserve">Įgyvendinamos Lietuvos Respublikos vietos savivaldos įstatymu numatytos </w:t>
            </w:r>
            <w:proofErr w:type="spellStart"/>
            <w:r w:rsidRPr="00B83A2B">
              <w:t>savarankiškosios</w:t>
            </w:r>
            <w:proofErr w:type="spellEnd"/>
            <w:r w:rsidRPr="00B83A2B">
              <w:t xml:space="preserve"> savivaldybių funkcijos: </w:t>
            </w:r>
            <w:r w:rsidRPr="00B83A2B">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83A2B">
              <w:rPr>
                <w:b/>
                <w:bCs/>
                <w:lang w:eastAsia="lt-LT"/>
              </w:rPr>
              <w:t xml:space="preserve"> </w:t>
            </w:r>
            <w:r w:rsidRPr="00B83A2B">
              <w:rPr>
                <w:lang w:eastAsia="lt-LT"/>
              </w:rPr>
              <w:t>švietimo įstaigose, įgyvendinančiose mokymą pagal ikimokyklinio, priešmokyklinio ir bendrojo lavinimo programas</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Ilgalaikis prioritetas</w:t>
            </w:r>
          </w:p>
          <w:p w:rsidR="003730BE" w:rsidRPr="00B83A2B" w:rsidRDefault="003730BE" w:rsidP="00C25EA8">
            <w:pPr>
              <w:rPr>
                <w:b/>
              </w:rPr>
            </w:pPr>
            <w:r w:rsidRPr="00B83A2B">
              <w:rPr>
                <w:b/>
              </w:rPr>
              <w:t>(pagal KSP)</w:t>
            </w:r>
          </w:p>
        </w:tc>
        <w:tc>
          <w:tcPr>
            <w:tcW w:w="5262" w:type="dxa"/>
            <w:gridSpan w:val="9"/>
          </w:tcPr>
          <w:p w:rsidR="003730BE" w:rsidRPr="00B83A2B" w:rsidRDefault="003730BE" w:rsidP="00C25EA8">
            <w:r w:rsidRPr="00B83A2B">
              <w:rPr>
                <w:rFonts w:eastAsia="SimSun"/>
                <w:lang w:eastAsia="lt-LT"/>
              </w:rPr>
              <w:t>Sveika, sumani ir saugi bendruomenė</w:t>
            </w:r>
          </w:p>
        </w:tc>
        <w:tc>
          <w:tcPr>
            <w:tcW w:w="1075" w:type="dxa"/>
            <w:gridSpan w:val="5"/>
          </w:tcPr>
          <w:p w:rsidR="003730BE" w:rsidRPr="00B83A2B" w:rsidRDefault="003730BE" w:rsidP="00C25EA8">
            <w:r w:rsidRPr="00B83A2B">
              <w:rPr>
                <w:b/>
                <w:bCs/>
              </w:rPr>
              <w:t>Kodas</w:t>
            </w:r>
          </w:p>
        </w:tc>
        <w:tc>
          <w:tcPr>
            <w:tcW w:w="589" w:type="dxa"/>
            <w:gridSpan w:val="2"/>
          </w:tcPr>
          <w:p w:rsidR="003730BE" w:rsidRPr="00B83A2B" w:rsidRDefault="003730BE" w:rsidP="00C25EA8">
            <w:r w:rsidRPr="00B83A2B">
              <w:rPr>
                <w:b/>
              </w:rPr>
              <w:t>I</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Šia programa įgyvendinamas savivaldybės strateginis tikslas</w:t>
            </w:r>
          </w:p>
        </w:tc>
        <w:tc>
          <w:tcPr>
            <w:tcW w:w="5262" w:type="dxa"/>
            <w:gridSpan w:val="9"/>
          </w:tcPr>
          <w:p w:rsidR="003730BE" w:rsidRPr="00B83A2B" w:rsidRDefault="003730BE" w:rsidP="00C25EA8">
            <w:r w:rsidRPr="00B83A2B">
              <w:t>Užtikrinti gyventojams aukštą švietimo, kultūros, socialinių, sporto ir sveikatos apsaugos paslaugų kokybę ir prieinamumą</w:t>
            </w:r>
          </w:p>
        </w:tc>
        <w:tc>
          <w:tcPr>
            <w:tcW w:w="1075" w:type="dxa"/>
            <w:gridSpan w:val="5"/>
          </w:tcPr>
          <w:p w:rsidR="003730BE" w:rsidRPr="00B83A2B" w:rsidRDefault="003730BE" w:rsidP="00C25EA8">
            <w:pPr>
              <w:rPr>
                <w:b/>
                <w:bCs/>
              </w:rPr>
            </w:pPr>
            <w:r w:rsidRPr="00B83A2B">
              <w:rPr>
                <w:b/>
              </w:rPr>
              <w:t>Kodas</w:t>
            </w:r>
          </w:p>
        </w:tc>
        <w:tc>
          <w:tcPr>
            <w:tcW w:w="589" w:type="dxa"/>
            <w:gridSpan w:val="2"/>
          </w:tcPr>
          <w:p w:rsidR="003730BE" w:rsidRPr="00B83A2B" w:rsidRDefault="003730BE" w:rsidP="00C25EA8">
            <w:pPr>
              <w:rPr>
                <w:b/>
              </w:rPr>
            </w:pPr>
            <w:r w:rsidRPr="00B83A2B">
              <w:rPr>
                <w:b/>
              </w:rPr>
              <w:t>03</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bCs/>
              </w:rPr>
              <w:t>Programos tikslas</w:t>
            </w:r>
          </w:p>
        </w:tc>
        <w:tc>
          <w:tcPr>
            <w:tcW w:w="5262" w:type="dxa"/>
            <w:gridSpan w:val="9"/>
          </w:tcPr>
          <w:p w:rsidR="003730BE" w:rsidRPr="00B83A2B" w:rsidRDefault="003730BE" w:rsidP="00C25EA8">
            <w:r w:rsidRPr="00B83A2B">
              <w:t>Užtikrinti kokybišką ugdymo proceso organizavimą</w:t>
            </w:r>
          </w:p>
        </w:tc>
        <w:tc>
          <w:tcPr>
            <w:tcW w:w="1075" w:type="dxa"/>
            <w:gridSpan w:val="5"/>
          </w:tcPr>
          <w:p w:rsidR="003730BE" w:rsidRPr="00B83A2B" w:rsidRDefault="003730BE" w:rsidP="00C25EA8">
            <w:pPr>
              <w:rPr>
                <w:b/>
                <w:bCs/>
              </w:rPr>
            </w:pPr>
            <w:r w:rsidRPr="00B83A2B">
              <w:rPr>
                <w:b/>
                <w:bCs/>
              </w:rPr>
              <w:t>Kodas</w:t>
            </w:r>
          </w:p>
        </w:tc>
        <w:tc>
          <w:tcPr>
            <w:tcW w:w="589" w:type="dxa"/>
            <w:gridSpan w:val="2"/>
          </w:tcPr>
          <w:p w:rsidR="003730BE" w:rsidRPr="00B83A2B" w:rsidRDefault="003730BE" w:rsidP="00C25EA8">
            <w:pPr>
              <w:rPr>
                <w:b/>
              </w:rPr>
            </w:pPr>
            <w:r w:rsidRPr="00B83A2B">
              <w:rPr>
                <w:b/>
              </w:rPr>
              <w:t>01</w:t>
            </w:r>
          </w:p>
        </w:tc>
      </w:tr>
      <w:tr w:rsidR="00F833B1" w:rsidRPr="00B83A2B" w:rsidTr="00F42437">
        <w:trPr>
          <w:gridBefore w:val="1"/>
          <w:wBefore w:w="32" w:type="dxa"/>
          <w:trHeight w:val="1552"/>
        </w:trPr>
        <w:tc>
          <w:tcPr>
            <w:tcW w:w="9834" w:type="dxa"/>
            <w:gridSpan w:val="18"/>
          </w:tcPr>
          <w:p w:rsidR="003730BE" w:rsidRPr="00B83A2B" w:rsidRDefault="003730BE" w:rsidP="005271FC">
            <w:pPr>
              <w:pStyle w:val="Pagrindinistekstas"/>
              <w:ind w:firstLine="567"/>
              <w:jc w:val="both"/>
              <w:rPr>
                <w:b/>
                <w:lang w:val="lt-LT"/>
              </w:rPr>
            </w:pPr>
            <w:r w:rsidRPr="00B83A2B">
              <w:rPr>
                <w:b/>
                <w:lang w:val="lt-LT"/>
              </w:rPr>
              <w:t xml:space="preserve">Tikslo įgyvendinimo aprašymas: </w:t>
            </w:r>
          </w:p>
          <w:p w:rsidR="003730BE" w:rsidRPr="00B83A2B" w:rsidRDefault="003730BE" w:rsidP="005271FC">
            <w:pPr>
              <w:ind w:firstLine="567"/>
              <w:jc w:val="both"/>
            </w:pPr>
            <w:r w:rsidRPr="00B83A2B">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C71A38" w:rsidRPr="00B83A2B" w:rsidRDefault="00C71A38" w:rsidP="00C71A38">
            <w:pPr>
              <w:ind w:firstLine="569"/>
              <w:jc w:val="both"/>
            </w:pPr>
            <w:r w:rsidRPr="00B83A2B">
              <w:t>Siekiant laiduoti kokybišką ugdymo proceso organizavimą, būtina vykdyti valstybinius ir mokyklinius brandos egzaminus, organizuoti edukacinius ir kultūrinius renginius bei projektus, 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w:t>
            </w:r>
          </w:p>
          <w:p w:rsidR="003730BE" w:rsidRPr="00B83A2B" w:rsidRDefault="00B85030" w:rsidP="005271FC">
            <w:pPr>
              <w:pStyle w:val="Pagrindinistekstas"/>
              <w:ind w:firstLine="567"/>
              <w:jc w:val="both"/>
              <w:rPr>
                <w:b/>
                <w:lang w:val="lt-LT"/>
              </w:rPr>
            </w:pPr>
            <w:r w:rsidRPr="00B83A2B">
              <w:rPr>
                <w:b/>
                <w:lang w:val="lt-LT"/>
              </w:rPr>
              <w:lastRenderedPageBreak/>
              <w:t>01.</w:t>
            </w:r>
            <w:r w:rsidR="003730BE" w:rsidRPr="00B83A2B">
              <w:rPr>
                <w:b/>
                <w:lang w:val="lt-LT"/>
              </w:rPr>
              <w:t>01 uždavinys. Sudaryti sąlygas ugdytis ir įgyti išsilavinimą pagal įvairias ugdymo programas.</w:t>
            </w:r>
          </w:p>
          <w:p w:rsidR="00CE25E9" w:rsidRPr="00B83A2B" w:rsidRDefault="00CE25E9" w:rsidP="00CE25E9">
            <w:pPr>
              <w:ind w:firstLine="567"/>
              <w:jc w:val="both"/>
            </w:pPr>
            <w:r w:rsidRPr="00B83A2B">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w:t>
            </w:r>
            <w:r w:rsidR="00830E07" w:rsidRPr="00B83A2B">
              <w:t>4</w:t>
            </w:r>
            <w:r w:rsidRPr="00B83A2B">
              <w:t xml:space="preserve"> ikimokyklinio ugdymo įstaigų veikla, ikimokyklinio ir priešmokyklinio ugdymo paslauga bus suteikta </w:t>
            </w:r>
            <w:r w:rsidR="002C40A1" w:rsidRPr="00B83A2B">
              <w:t>7625</w:t>
            </w:r>
            <w:r w:rsidRPr="00B83A2B">
              <w:t xml:space="preserve"> vaik</w:t>
            </w:r>
            <w:r w:rsidR="002C40A1" w:rsidRPr="00B83A2B">
              <w:t>ams</w:t>
            </w:r>
            <w:r w:rsidRPr="00B83A2B">
              <w:t xml:space="preserve"> iki 7 metų. Ši paslauga teikiama ir </w:t>
            </w:r>
            <w:r w:rsidR="00830E07" w:rsidRPr="00B83A2B">
              <w:t>9</w:t>
            </w:r>
            <w:r w:rsidRPr="00B83A2B">
              <w:t xml:space="preserve"> nevalstybinėse įstaigose</w:t>
            </w:r>
            <w:r w:rsidR="00830E07" w:rsidRPr="00B83A2B">
              <w:t xml:space="preserve"> (ugdoma apie </w:t>
            </w:r>
            <w:r w:rsidR="002C40A1" w:rsidRPr="00B83A2B">
              <w:t>244</w:t>
            </w:r>
            <w:r w:rsidR="00830E07" w:rsidRPr="00B83A2B">
              <w:t xml:space="preserve"> vaikų)</w:t>
            </w:r>
            <w:r w:rsidRPr="00B83A2B">
              <w:t>, kurioms bus skiriamos tikslinės mokinio krepšelio lėšos.</w:t>
            </w:r>
          </w:p>
          <w:p w:rsidR="00D23D8A" w:rsidRPr="00B83A2B" w:rsidRDefault="00D23D8A" w:rsidP="00D23D8A">
            <w:pPr>
              <w:ind w:firstLine="567"/>
              <w:jc w:val="both"/>
            </w:pPr>
            <w:r w:rsidRPr="00B83A2B">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w:t>
            </w:r>
            <w:r w:rsidR="00D14DED" w:rsidRPr="00B83A2B">
              <w:t>a</w:t>
            </w:r>
            <w:r w:rsidRPr="00B83A2B">
              <w:t xml:space="preserve"> 7 mokykl</w:t>
            </w:r>
            <w:r w:rsidR="00D14DED" w:rsidRPr="00B83A2B">
              <w:t>ų</w:t>
            </w:r>
            <w:r w:rsidRPr="00B83A2B">
              <w:t>-darželi</w:t>
            </w:r>
            <w:r w:rsidR="00D14DED" w:rsidRPr="00B83A2B">
              <w:t>ų</w:t>
            </w:r>
            <w:r w:rsidRPr="00B83A2B">
              <w:t xml:space="preserve"> ir 1 pradinės mokyklos veikla, ikimokyklinio ir priešmokyklinio ugdymo paslauga bus suteikta 990 vaikų, pagal pradinio ugdymo programą bus ugdoma 1060 1–4 klasių mokinių.</w:t>
            </w:r>
          </w:p>
          <w:p w:rsidR="00495DD5" w:rsidRPr="00B83A2B" w:rsidRDefault="00495DD5" w:rsidP="00495DD5">
            <w:pPr>
              <w:tabs>
                <w:tab w:val="left" w:pos="0"/>
                <w:tab w:val="left" w:pos="426"/>
              </w:tabs>
              <w:ind w:firstLine="567"/>
              <w:jc w:val="both"/>
            </w:pPr>
            <w:r w:rsidRPr="00B83A2B">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11 progimnazijų, 9 pagrindinėse mokyklose, 4 nevalstybinėse mokyklose. Pagal pradinio, pagrindinio ir vidurinio ugdymo programas mokoma </w:t>
            </w:r>
            <w:r w:rsidR="002C40A1" w:rsidRPr="00B83A2B">
              <w:t>16960</w:t>
            </w:r>
            <w:r w:rsidRPr="00B83A2B">
              <w:t xml:space="preserve"> mokinių. </w:t>
            </w:r>
          </w:p>
          <w:p w:rsidR="00495DD5" w:rsidRPr="00B83A2B" w:rsidRDefault="00495DD5" w:rsidP="00495DD5">
            <w:pPr>
              <w:tabs>
                <w:tab w:val="left" w:pos="0"/>
                <w:tab w:val="left" w:pos="426"/>
              </w:tabs>
              <w:ind w:firstLine="567"/>
              <w:jc w:val="both"/>
            </w:pPr>
            <w:r w:rsidRPr="00B83A2B">
              <w:t xml:space="preserve">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w:t>
            </w:r>
            <w:r w:rsidR="002C40A1" w:rsidRPr="00B83A2B">
              <w:t xml:space="preserve">5049 </w:t>
            </w:r>
            <w:r w:rsidRPr="00B83A2B">
              <w:t>vaik</w:t>
            </w:r>
            <w:r w:rsidR="002C40A1" w:rsidRPr="00B83A2B">
              <w:t>ai</w:t>
            </w:r>
            <w:r w:rsidRPr="00B83A2B">
              <w:t>.</w:t>
            </w:r>
          </w:p>
          <w:p w:rsidR="00CE25E9" w:rsidRPr="00B83A2B" w:rsidRDefault="00CE25E9" w:rsidP="005559D6">
            <w:pPr>
              <w:tabs>
                <w:tab w:val="left" w:pos="0"/>
                <w:tab w:val="left" w:pos="567"/>
              </w:tabs>
              <w:jc w:val="both"/>
              <w:rPr>
                <w:bCs/>
              </w:rPr>
            </w:pPr>
            <w:r w:rsidRPr="00B83A2B">
              <w:tab/>
            </w:r>
            <w:r w:rsidRPr="00B83A2B">
              <w:rPr>
                <w:bCs/>
              </w:rPr>
              <w:t>Siekiant</w:t>
            </w:r>
            <w:r w:rsidRPr="00B83A2B">
              <w:rPr>
                <w:b/>
                <w:bCs/>
              </w:rPr>
              <w:t xml:space="preserve"> </w:t>
            </w:r>
            <w:r w:rsidRPr="00B83A2B">
              <w:rPr>
                <w:bCs/>
              </w:rPr>
              <w:t xml:space="preserve">sudaryti sąlygas įgyti išsilavinimą pagal atskiras ugdymo programas įvairių poreikių bei galimybių vaikams, būtina užtikrinti reikiamos pagalbos teikimą. Profesionali pedagoginė psichologinė pagalba turi būti koncentruota, norint sėkmingai konsultuoti tėvus ir vaikus, vykdyti individualias ir grupines pratybas, padėti lavinti </w:t>
            </w:r>
            <w:r w:rsidR="00011513" w:rsidRPr="00B83A2B">
              <w:rPr>
                <w:bCs/>
              </w:rPr>
              <w:t>vaikams sutrikusias funkcijas,</w:t>
            </w:r>
            <w:r w:rsidRPr="00B83A2B">
              <w:rPr>
                <w:bCs/>
              </w:rPr>
              <w:t xml:space="preserve"> taip pat padėti mokytojams atpažinti vaikus, kuriems reikalinga pedagoginė psichologinė pagalba. Įgyvendinus šią priemonę, bus užtikrinama Pedagoginės psichologinės tarnybos veikla (pastato ir etatų išlaikymas), planuojama suteikti pagalbą daugiau nei 7600 asmenų.</w:t>
            </w:r>
          </w:p>
          <w:p w:rsidR="00CE25E9" w:rsidRPr="00B83A2B" w:rsidRDefault="00CE25E9" w:rsidP="00CE25E9">
            <w:pPr>
              <w:ind w:firstLine="567"/>
              <w:jc w:val="both"/>
              <w:rPr>
                <w:bCs/>
              </w:rPr>
            </w:pPr>
            <w:r w:rsidRPr="00B83A2B">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83A2B">
              <w:t>–</w:t>
            </w:r>
            <w:r w:rsidRPr="00B83A2B">
              <w:rPr>
                <w:bCs/>
              </w:rPr>
              <w:t xml:space="preserve"> teikti socialinės reabilitacijos paslaugas suaugusiems žmonėms su regos negalia. Įgyvendinus šią priemonę, bus garantuota Regos ugdymo centro, kurio pagalba pasinaudos  </w:t>
            </w:r>
            <w:r w:rsidR="002C40A1" w:rsidRPr="00B83A2B">
              <w:rPr>
                <w:bCs/>
              </w:rPr>
              <w:t>92</w:t>
            </w:r>
            <w:r w:rsidRPr="00B83A2B">
              <w:rPr>
                <w:bCs/>
              </w:rPr>
              <w:t xml:space="preserve"> ikimokyklinio ir priešmokyklinio amžiaus vaikų, 30 mokinių ir daugiau kaip 40 suaugusiųjų, veikla.</w:t>
            </w:r>
          </w:p>
          <w:p w:rsidR="00CE25E9" w:rsidRPr="00B83A2B" w:rsidRDefault="00CE25E9" w:rsidP="00CE25E9">
            <w:pPr>
              <w:pStyle w:val="Pagrindinistekstas"/>
              <w:ind w:firstLine="567"/>
              <w:jc w:val="both"/>
              <w:rPr>
                <w:bCs/>
                <w:lang w:val="lt-LT"/>
              </w:rPr>
            </w:pPr>
            <w:r w:rsidRPr="00B83A2B">
              <w:rPr>
                <w:bCs/>
                <w:lang w:val="lt-LT"/>
              </w:rPr>
              <w:t xml:space="preserve">Siekiant nuolatinio pedagoginio darbo kokybės gerinimo ir operatyvaus reagavimo į ugdymo turinio bei metodikų kaitą, būtina nuolat organizuoti kvalifikacijos kėlimo kursus, dalytis metodinės </w:t>
            </w:r>
            <w:r w:rsidRPr="00B83A2B">
              <w:rPr>
                <w:bCs/>
                <w:lang w:val="lt-LT"/>
              </w:rPr>
              <w:lastRenderedPageBreak/>
              <w:t>veiklos ir pedagoginio darbo patirtimi, kad mokyklų vadovai ir pedagogai įgytų naujų kompetencijų. Šią funkciją vykdo Pedagogų švietimo ir kultūros centras, kuris, įgyvendinus šią priemonę, suteiks galimybes tobulinti kvalifikaciją pedagogams pagal 250–260 programų.</w:t>
            </w:r>
          </w:p>
          <w:p w:rsidR="00CE25E9" w:rsidRPr="00B83A2B" w:rsidRDefault="00CE25E9" w:rsidP="00CE25E9">
            <w:pPr>
              <w:pStyle w:val="Pagrindinistekstas"/>
              <w:ind w:firstLine="567"/>
              <w:jc w:val="both"/>
              <w:rPr>
                <w:bCs/>
                <w:lang w:val="lt-LT"/>
              </w:rPr>
            </w:pPr>
            <w:r w:rsidRPr="00B83A2B">
              <w:rPr>
                <w:bCs/>
                <w:lang w:val="lt-LT"/>
              </w:rPr>
              <w:t>Pagal Klaipėdos miesto savivaldybės bendrojo ugdymo mo</w:t>
            </w:r>
            <w:r w:rsidR="00011513" w:rsidRPr="00B83A2B">
              <w:rPr>
                <w:bCs/>
                <w:lang w:val="lt-LT"/>
              </w:rPr>
              <w:t>kyklų tinklo pertvarkos 2012</w:t>
            </w:r>
            <w:r w:rsidRPr="00B83A2B">
              <w:rPr>
                <w:bCs/>
                <w:lang w:val="lt-LT"/>
              </w:rPr>
              <w:t>– 2015 metų bendrojo plano priemones kasmet reorganizuojamos mokyklos arba vykdomos vidaus struktūros pertvarkos, taip pat dėl kasmet mažėjančio besimokančiųjų skaičiaus dalis mokytojų netenka darbo, todėl švietimo įstaigoms būtina numatyti lėš</w:t>
            </w:r>
            <w:r w:rsidR="00846681" w:rsidRPr="00B83A2B">
              <w:rPr>
                <w:bCs/>
                <w:lang w:val="lt-LT"/>
              </w:rPr>
              <w:t>as</w:t>
            </w:r>
            <w:r w:rsidRPr="00B83A2B">
              <w:rPr>
                <w:bCs/>
                <w:lang w:val="lt-LT"/>
              </w:rPr>
              <w:t xml:space="preserve"> darbuotojų išeitinių išmokų kompensavimui.</w:t>
            </w:r>
          </w:p>
          <w:p w:rsidR="00CE25E9" w:rsidRPr="00B83A2B" w:rsidRDefault="00CE25E9" w:rsidP="0041147D">
            <w:pPr>
              <w:ind w:right="-23" w:firstLine="569"/>
              <w:jc w:val="both"/>
            </w:pPr>
            <w:r w:rsidRPr="00B83A2B">
              <w:t>Užtikrinant Jeronimo Kačinsko muzikos mokyklos nuo 2008 m</w:t>
            </w:r>
            <w:r w:rsidR="00846681" w:rsidRPr="00B83A2B">
              <w:t>.</w:t>
            </w:r>
            <w:r w:rsidRPr="00B83A2B">
              <w:t xml:space="preserve"> vykdomo „Profesinės linkmės muzikinio ugdymo modulio“ tęstinumą, būtina sudaryti sąlygas gabiems ir talentingiems mokiniams (šiuo metu dalyvauja 25 mokiniai) gauti daugiau dalykinių žinių ir įgyti gebėjimų, padėti geriau pasiruošti įvairiems respublikiniams ir tarptautiniams konkursams, festivaliams ir kitiems renginiams.</w:t>
            </w:r>
          </w:p>
          <w:p w:rsidR="00CE25E9" w:rsidRPr="00B83A2B" w:rsidRDefault="00CE25E9" w:rsidP="0041147D">
            <w:pPr>
              <w:ind w:firstLine="569"/>
              <w:jc w:val="both"/>
            </w:pPr>
            <w:r w:rsidRPr="00B83A2B">
              <w:t>Vadovaujantis Lietuvos Respublikos vaiko minimalios ir vidutinės priežiūros įstatymu Savivaldybės administracijos vaiko gerovės komisija organizuoja posėdžius dėl vaiko minimalios ar vidutinės priežiūros priemonių skyrimo, pratęsimo, pakeitimo ar panaikinimo, koordinuoja socialinio ugdymo, reabilitacijos, prevencijos ir kitų programų įgyvendinimą savivaldybėje</w:t>
            </w:r>
            <w:r w:rsidR="00B86F78" w:rsidRPr="00B83A2B">
              <w:t>. 2015</w:t>
            </w:r>
            <w:r w:rsidR="002A0883" w:rsidRPr="00B83A2B">
              <w:t>–</w:t>
            </w:r>
            <w:r w:rsidR="00B86F78" w:rsidRPr="00B83A2B">
              <w:t>2017 m. planuojama organizuoti</w:t>
            </w:r>
            <w:r w:rsidRPr="00B83A2B">
              <w:t xml:space="preserve"> prevencini</w:t>
            </w:r>
            <w:r w:rsidR="00B86F78" w:rsidRPr="00B83A2B">
              <w:t>us</w:t>
            </w:r>
            <w:r w:rsidRPr="00B83A2B">
              <w:t xml:space="preserve"> rengini</w:t>
            </w:r>
            <w:r w:rsidR="00B86F78" w:rsidRPr="00B83A2B">
              <w:t>us</w:t>
            </w:r>
            <w:r w:rsidRPr="00B83A2B">
              <w:t xml:space="preserve"> tikslinei vaikų grupei bei vaikų, kuriems skirta vidutinės priežiūros priemonė, nuvežim</w:t>
            </w:r>
            <w:r w:rsidR="00B86F78" w:rsidRPr="00B83A2B">
              <w:t>ą</w:t>
            </w:r>
            <w:r w:rsidRPr="00B83A2B">
              <w:t xml:space="preserve"> į vaikų socializacijos centrus (jei tėvai neturi galimybių), </w:t>
            </w:r>
            <w:r w:rsidR="00B86F78" w:rsidRPr="00B83A2B">
              <w:t xml:space="preserve">organizuoti </w:t>
            </w:r>
            <w:r w:rsidRPr="00B83A2B">
              <w:t>minėtos komisijos išvažiuojam</w:t>
            </w:r>
            <w:r w:rsidR="00B86F78" w:rsidRPr="00B83A2B">
              <w:t xml:space="preserve">uosius </w:t>
            </w:r>
            <w:r w:rsidRPr="00B83A2B">
              <w:t>posėdži</w:t>
            </w:r>
            <w:r w:rsidR="00B86F78" w:rsidRPr="00B83A2B">
              <w:t xml:space="preserve">us </w:t>
            </w:r>
            <w:r w:rsidRPr="00B83A2B">
              <w:t xml:space="preserve"> į socializacijos centrus, </w:t>
            </w:r>
            <w:r w:rsidR="00B86F78" w:rsidRPr="00B83A2B">
              <w:t xml:space="preserve">kelti </w:t>
            </w:r>
            <w:r w:rsidRPr="00B83A2B">
              <w:t>komisijos narių kvalifikacij</w:t>
            </w:r>
            <w:r w:rsidR="00B86F78" w:rsidRPr="00B83A2B">
              <w:t>ą</w:t>
            </w:r>
            <w:r w:rsidRPr="00B83A2B">
              <w:t xml:space="preserve">. </w:t>
            </w:r>
            <w:r w:rsidR="00B86F78" w:rsidRPr="00B83A2B">
              <w:t>Planuojama skirti</w:t>
            </w:r>
            <w:r w:rsidR="0041147D" w:rsidRPr="00B83A2B">
              <w:t xml:space="preserve"> lėš</w:t>
            </w:r>
            <w:r w:rsidR="00B86F78" w:rsidRPr="00B83A2B">
              <w:t>ų</w:t>
            </w:r>
            <w:r w:rsidRPr="00B83A2B">
              <w:t xml:space="preserve"> vaikų vasaros poilsio organizavimui, </w:t>
            </w:r>
            <w:r w:rsidR="0041147D" w:rsidRPr="00B83A2B">
              <w:t>nes</w:t>
            </w:r>
            <w:r w:rsidRPr="00B83A2B">
              <w:t>, pasibaigus mokslo metams, išauga vaikų ir paauglių, ypač delinkventinio elgesio grupės, nusikalstamumo rizika.</w:t>
            </w:r>
          </w:p>
          <w:p w:rsidR="003730BE" w:rsidRPr="00B83A2B" w:rsidRDefault="00B85030" w:rsidP="005271FC">
            <w:pPr>
              <w:pStyle w:val="Pagrindinistekstas"/>
              <w:ind w:firstLine="567"/>
              <w:jc w:val="both"/>
              <w:rPr>
                <w:lang w:val="lt-LT"/>
              </w:rPr>
            </w:pPr>
            <w:r w:rsidRPr="00B83A2B">
              <w:rPr>
                <w:b/>
                <w:lang w:val="lt-LT"/>
              </w:rPr>
              <w:t>01.</w:t>
            </w:r>
            <w:r w:rsidR="003730BE" w:rsidRPr="00B83A2B">
              <w:rPr>
                <w:b/>
                <w:lang w:val="lt-LT"/>
              </w:rPr>
              <w:t>02 uždavinys. Sudaryti sąlygas gauti pedagoginę, psichologinę, metodinę ir kitą ugdymo proceso kokybės gerinimui įtakos turinčią pagalbą.</w:t>
            </w:r>
          </w:p>
          <w:p w:rsidR="00FD0ACF" w:rsidRPr="00B83A2B" w:rsidRDefault="00FD0ACF" w:rsidP="002A0883">
            <w:pPr>
              <w:pStyle w:val="Pagrindinistekstas"/>
              <w:ind w:right="-23" w:firstLine="567"/>
              <w:jc w:val="both"/>
              <w:rPr>
                <w:lang w:val="lt-LT"/>
              </w:rPr>
            </w:pPr>
            <w:r w:rsidRPr="00B83A2B">
              <w:rPr>
                <w:lang w:val="lt-LT"/>
              </w:rPr>
              <w:t xml:space="preserve">Ugdymo kokybės gerinimui įtakos turi švietimo įstaigų vadovų atestavimas, brandos egzaminų organizavimas ir vykdymas, mokymosi prieinamumo užtikrinimas, diegiant nuotolinį mokymąsi, mokinių įtraukimas į edukacinius, kultūrinius ir kitus renginius, siekiant </w:t>
            </w:r>
            <w:proofErr w:type="spellStart"/>
            <w:r w:rsidRPr="00B83A2B">
              <w:rPr>
                <w:lang w:val="lt-LT"/>
              </w:rPr>
              <w:t>popamokinio</w:t>
            </w:r>
            <w:proofErr w:type="spellEnd"/>
            <w:r w:rsidRPr="00B83A2B">
              <w:rPr>
                <w:lang w:val="lt-LT"/>
              </w:rPr>
              <w:t xml:space="preserve"> užimtumo ir tinkamo mokinių paruošimo respublikiniams konkursams ir olimpiadoms.</w:t>
            </w:r>
          </w:p>
          <w:p w:rsidR="00FD0ACF" w:rsidRPr="00B83A2B" w:rsidRDefault="00FA089B" w:rsidP="002A0883">
            <w:pPr>
              <w:pStyle w:val="Pagrindinistekstas"/>
              <w:ind w:right="-23" w:firstLine="567"/>
              <w:jc w:val="both"/>
              <w:rPr>
                <w:lang w:val="lt-LT"/>
              </w:rPr>
            </w:pPr>
            <w:r w:rsidRPr="00B83A2B">
              <w:rPr>
                <w:lang w:val="lt-LT"/>
              </w:rPr>
              <w:t>Planuojamas</w:t>
            </w:r>
            <w:r w:rsidR="00FD0ACF" w:rsidRPr="00B83A2B">
              <w:rPr>
                <w:lang w:val="lt-LT"/>
              </w:rPr>
              <w:t xml:space="preserve"> bendrojo ugdymo mokyklų, ikimokyklinio ugdymo įstaigų bei neformaliojo vaikų švietimo įstaigų direktorių ir jų pavaduotojų atestavim</w:t>
            </w:r>
            <w:r w:rsidRPr="00B83A2B">
              <w:rPr>
                <w:lang w:val="lt-LT"/>
              </w:rPr>
              <w:t>as</w:t>
            </w:r>
            <w:r w:rsidR="00FD0ACF" w:rsidRPr="00B83A2B">
              <w:rPr>
                <w:lang w:val="lt-LT"/>
              </w:rPr>
              <w:t xml:space="preserve"> pagal Lietuvos Respublikos švietimo ir mokslo ministro nustatytą tvarką atitinkamai I, II ir III kvalifikacinėms kategorijoms arba veiklos ir kompetencijos atitikties turimai vadybinei kategorijai nustatymui. Ugdymo kokybei tiesioginės įtakos turi ir mokytojų dalyvavimas metodinėje veikloje bei mokytojų konsultantų</w:t>
            </w:r>
            <w:r w:rsidR="00645700" w:rsidRPr="00B83A2B">
              <w:rPr>
                <w:lang w:val="lt-LT"/>
              </w:rPr>
              <w:t xml:space="preserve"> </w:t>
            </w:r>
            <w:r w:rsidR="00FD0ACF" w:rsidRPr="00B83A2B">
              <w:rPr>
                <w:lang w:val="lt-LT"/>
              </w:rPr>
              <w:t>dalyvavimas respublikiniuose mokymuose, įgytos patirties apie ugdymo turinio kaitą perdavimas kitiems miesto mokyklų mokytojams</w:t>
            </w:r>
            <w:r w:rsidR="00F833B1" w:rsidRPr="00B83A2B">
              <w:rPr>
                <w:lang w:val="lt-LT"/>
              </w:rPr>
              <w:t xml:space="preserve">. </w:t>
            </w:r>
          </w:p>
          <w:p w:rsidR="00F833B1" w:rsidRPr="00B83A2B" w:rsidRDefault="00FD0ACF" w:rsidP="00FD0ACF">
            <w:pPr>
              <w:pStyle w:val="Pagrindinistekstas"/>
              <w:ind w:firstLine="567"/>
              <w:jc w:val="both"/>
              <w:rPr>
                <w:bCs/>
                <w:lang w:val="lt-LT"/>
              </w:rPr>
            </w:pPr>
            <w:r w:rsidRPr="00B83A2B">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kurių organizavime dalyvaus </w:t>
            </w:r>
            <w:r w:rsidR="00F833B1" w:rsidRPr="00B83A2B">
              <w:rPr>
                <w:bCs/>
                <w:lang w:val="lt-LT"/>
              </w:rPr>
              <w:t>e</w:t>
            </w:r>
            <w:r w:rsidRPr="00B83A2B">
              <w:rPr>
                <w:bCs/>
                <w:lang w:val="lt-LT"/>
              </w:rPr>
              <w:t>gz</w:t>
            </w:r>
            <w:r w:rsidR="00F833B1" w:rsidRPr="00B83A2B">
              <w:rPr>
                <w:bCs/>
                <w:lang w:val="lt-LT"/>
              </w:rPr>
              <w:t>aminų vykdytojai ir vertintojai.</w:t>
            </w:r>
          </w:p>
          <w:p w:rsidR="00FD0ACF" w:rsidRPr="00B83A2B" w:rsidRDefault="00FD0ACF" w:rsidP="00FD0ACF">
            <w:pPr>
              <w:pStyle w:val="Pagrindinistekstas"/>
              <w:ind w:firstLine="567"/>
              <w:jc w:val="both"/>
              <w:rPr>
                <w:bCs/>
                <w:lang w:val="lt-LT"/>
              </w:rPr>
            </w:pPr>
            <w:r w:rsidRPr="00B83A2B">
              <w:rPr>
                <w:bCs/>
                <w:lang w:val="lt-LT"/>
              </w:rPr>
              <w:t xml:space="preserve">Vykstant laisvam žmonių judėjimui į įvairias šalis, atsiranda nuotolinio mokymosi pagal bendrojo ugdymo programas poreikis. Šiuo metu nuotolinio mokymosi būdą paviene forma įgyvendina „Vyturio“ pagrindinė mokykla, organizuodama mokymą pagal pradinio ir pagrindinio ugdymo programas, mokomi 39 mokiniai. 2 bendrojo ugdymo mokyklose (Baltijos ir Suaugusiųjų gimnazijoje) </w:t>
            </w:r>
            <w:r w:rsidR="00F833B1" w:rsidRPr="00B83A2B">
              <w:rPr>
                <w:bCs/>
                <w:lang w:val="lt-LT"/>
              </w:rPr>
              <w:t>planuojama</w:t>
            </w:r>
            <w:r w:rsidRPr="00B83A2B">
              <w:rPr>
                <w:bCs/>
                <w:lang w:val="lt-LT"/>
              </w:rPr>
              <w:t xml:space="preserve"> įsigyt</w:t>
            </w:r>
            <w:r w:rsidR="00F833B1" w:rsidRPr="00B83A2B">
              <w:rPr>
                <w:bCs/>
                <w:lang w:val="lt-LT"/>
              </w:rPr>
              <w:t>i reikiamą</w:t>
            </w:r>
            <w:r w:rsidRPr="00B83A2B">
              <w:rPr>
                <w:bCs/>
                <w:lang w:val="lt-LT"/>
              </w:rPr>
              <w:t xml:space="preserve"> įrang</w:t>
            </w:r>
            <w:r w:rsidR="00F833B1" w:rsidRPr="00B83A2B">
              <w:rPr>
                <w:bCs/>
                <w:lang w:val="lt-LT"/>
              </w:rPr>
              <w:t>ą</w:t>
            </w:r>
            <w:r w:rsidRPr="00B83A2B">
              <w:rPr>
                <w:bCs/>
                <w:lang w:val="lt-LT"/>
              </w:rPr>
              <w:t xml:space="preserve"> bei priemon</w:t>
            </w:r>
            <w:r w:rsidR="00F833B1" w:rsidRPr="00B83A2B">
              <w:rPr>
                <w:bCs/>
                <w:lang w:val="lt-LT"/>
              </w:rPr>
              <w:t>e</w:t>
            </w:r>
            <w:r w:rsidRPr="00B83A2B">
              <w:rPr>
                <w:bCs/>
                <w:lang w:val="lt-LT"/>
              </w:rPr>
              <w:t>s nuotolinio mokymo pagal vidurinio ugdymo programas organizavimui.</w:t>
            </w:r>
          </w:p>
          <w:p w:rsidR="00FD0ACF" w:rsidRPr="00B83A2B" w:rsidRDefault="00FD0ACF" w:rsidP="00FD0ACF">
            <w:pPr>
              <w:pStyle w:val="Pagrindinistekstas"/>
              <w:ind w:firstLine="567"/>
              <w:jc w:val="both"/>
              <w:rPr>
                <w:bCs/>
                <w:lang w:val="lt-LT"/>
              </w:rPr>
            </w:pPr>
            <w:r w:rsidRPr="00B83A2B">
              <w:rPr>
                <w:bCs/>
                <w:lang w:val="lt-LT"/>
              </w:rPr>
              <w:t xml:space="preserve">Biudžetiniams metams nesutampant su mokslo metais, nuo rugsėjo 1 d. dažnai pasikeičia situacija bendrojo ugdymo mokyklose (sumažėja mokinių skaičius, atsiranda neužpildytų mokymosi vietų), todėl būtina numatyti </w:t>
            </w:r>
            <w:r w:rsidR="00FA089B" w:rsidRPr="00B83A2B">
              <w:rPr>
                <w:bCs/>
                <w:lang w:val="lt-LT"/>
              </w:rPr>
              <w:t>mokinio krepšelio</w:t>
            </w:r>
            <w:r w:rsidRPr="00B83A2B">
              <w:rPr>
                <w:bCs/>
                <w:lang w:val="lt-LT"/>
              </w:rPr>
              <w:t xml:space="preserve"> lėš</w:t>
            </w:r>
            <w:r w:rsidR="00FA089B" w:rsidRPr="00B83A2B">
              <w:rPr>
                <w:bCs/>
                <w:lang w:val="lt-LT"/>
              </w:rPr>
              <w:t>as</w:t>
            </w:r>
            <w:r w:rsidRPr="00B83A2B">
              <w:rPr>
                <w:bCs/>
                <w:lang w:val="lt-LT"/>
              </w:rPr>
              <w:t xml:space="preserve"> pedagoginių darbuotojų tarifinių atlygių koeficientų skirtumams išlyginti. Lėšos šiai priemonei numatytos ir kelių bendrojo ugdymo </w:t>
            </w:r>
            <w:r w:rsidRPr="00B83A2B">
              <w:rPr>
                <w:bCs/>
                <w:lang w:val="lt-LT"/>
              </w:rPr>
              <w:lastRenderedPageBreak/>
              <w:t xml:space="preserve">mokyklų (Vydūno, Baltijos gimnazijų, „Vyturio“, „Santarvės“ pagrindinių mokyklų ir kt.) įgyvendinamų neformaliojo vaikų švietimo programų, kurios </w:t>
            </w:r>
            <w:r w:rsidR="00433815" w:rsidRPr="00B83A2B">
              <w:rPr>
                <w:bCs/>
                <w:lang w:val="lt-LT"/>
              </w:rPr>
              <w:t>papildo</w:t>
            </w:r>
            <w:r w:rsidRPr="00B83A2B">
              <w:rPr>
                <w:bCs/>
                <w:lang w:val="lt-LT"/>
              </w:rPr>
              <w:t xml:space="preserve"> ugdymo formų įvairovę ir pagerina ugdymo prieinamumą, finansavimui.</w:t>
            </w:r>
          </w:p>
          <w:p w:rsidR="007E069A" w:rsidRPr="00B83A2B" w:rsidRDefault="00FD0ACF" w:rsidP="007E069A">
            <w:pPr>
              <w:ind w:firstLine="720"/>
              <w:jc w:val="both"/>
              <w:rPr>
                <w:bCs/>
              </w:rPr>
            </w:pPr>
            <w:r w:rsidRPr="00B83A2B">
              <w:t xml:space="preserve">Mieste tradiciškai organizuojama nemažai renginių, skirtų visiems miesto mokiniams ir mokytojams. Tai Rugsėjo 1-oji, Tarptautinė mokytojų diena, Kalėdinis mero priėmimas gabiems mokiniams,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Skatinant Klaipėdos miesto mokinių dalyvavimą savivaldos organizacijose, bus vykdomi mokinių mokymai, organizuojamos konferencijos, diskusijos ir kt. Įvykdžius šią priemonę, bus suorganizuota apie 180 edukacinių, kultūrinių ir kitų tradicinių renginių miesto mokyklų mokiniams ir mokytojams, tuo būdu </w:t>
            </w:r>
            <w:r w:rsidRPr="00B83A2B">
              <w:rPr>
                <w:bCs/>
              </w:rPr>
              <w:t xml:space="preserve">sudarytos prielaidos jų saviraiškai bei ugdymo kokybei gerinti. </w:t>
            </w:r>
          </w:p>
          <w:p w:rsidR="00FD0ACF" w:rsidRPr="00B83A2B" w:rsidRDefault="006A3A03" w:rsidP="00B83A2B">
            <w:pPr>
              <w:ind w:firstLine="720"/>
              <w:jc w:val="both"/>
            </w:pPr>
            <w:r w:rsidRPr="00B83A2B">
              <w:t>Didinant švietimo ir kitų paslaugų mokiniui prieinamumą ir kompleksiškumą (užtikrinama lankomumo registravimo sistema, sąsaja su e.</w:t>
            </w:r>
            <w:r w:rsidR="00B83A2B" w:rsidRPr="00B83A2B">
              <w:t> </w:t>
            </w:r>
            <w:r w:rsidRPr="00B83A2B">
              <w:t>dienynu, mokyklos bibliotekos paslaugų naudojimu, atsiskaitymu mokyklos valgykloje, nemokamo maitinimo apskaitos sistema, neformalaus ugdymo ir sporto klubų lankomumo apskaitos sistema, integruoti viešojo transporto ir viešosios bibliotekos bilietai) planuojama toliau tęsti elektroninio mokinio bilieto įdiegimo projektą bendrojo ugdymo mokyklose ir neform</w:t>
            </w:r>
            <w:r w:rsidR="00B83A2B" w:rsidRPr="00B83A2B">
              <w:t>aliojo vaikų švietimo įstaigose</w:t>
            </w:r>
          </w:p>
        </w:tc>
      </w:tr>
      <w:tr w:rsidR="00F833B1" w:rsidRPr="00B83A2B" w:rsidTr="00EA797B">
        <w:trPr>
          <w:trHeight w:val="350"/>
        </w:trPr>
        <w:tc>
          <w:tcPr>
            <w:tcW w:w="9866" w:type="dxa"/>
            <w:gridSpan w:val="19"/>
          </w:tcPr>
          <w:p w:rsidR="003730BE" w:rsidRPr="00B83A2B" w:rsidRDefault="003730BE" w:rsidP="00922CDB">
            <w:pPr>
              <w:ind w:left="80"/>
              <w:jc w:val="center"/>
              <w:rPr>
                <w:b/>
              </w:rPr>
            </w:pPr>
            <w:r w:rsidRPr="00B83A2B">
              <w:rPr>
                <w:b/>
                <w:bCs/>
              </w:rPr>
              <w:lastRenderedPageBreak/>
              <w:t xml:space="preserve">01 </w:t>
            </w:r>
            <w:r w:rsidR="00C75548" w:rsidRPr="00B83A2B">
              <w:rPr>
                <w:b/>
                <w:bCs/>
              </w:rPr>
              <w:t>tikslo rezultato vertinimo kriterijai</w:t>
            </w:r>
          </w:p>
        </w:tc>
      </w:tr>
      <w:tr w:rsidR="00F833B1" w:rsidRPr="00B83A2B" w:rsidTr="00F42437">
        <w:trPr>
          <w:trHeight w:val="450"/>
        </w:trPr>
        <w:tc>
          <w:tcPr>
            <w:tcW w:w="3776" w:type="dxa"/>
            <w:gridSpan w:val="5"/>
            <w:vMerge w:val="restart"/>
            <w:vAlign w:val="center"/>
          </w:tcPr>
          <w:p w:rsidR="003730BE" w:rsidRPr="00B83A2B" w:rsidRDefault="004B2F09" w:rsidP="00922CDB">
            <w:pPr>
              <w:pStyle w:val="Pagrindinistekstas"/>
              <w:jc w:val="center"/>
              <w:rPr>
                <w:lang w:val="lt-LT"/>
              </w:rPr>
            </w:pPr>
            <w:r w:rsidRPr="00B83A2B">
              <w:rPr>
                <w:bCs/>
                <w:lang w:val="lt-LT"/>
              </w:rPr>
              <w:t>Kriterijaus</w:t>
            </w:r>
            <w:r w:rsidR="003730BE" w:rsidRPr="00B83A2B">
              <w:rPr>
                <w:bCs/>
                <w:lang w:val="lt-LT"/>
              </w:rPr>
              <w:t xml:space="preserve"> pavadinimas, mato vnt.</w:t>
            </w:r>
          </w:p>
        </w:tc>
        <w:tc>
          <w:tcPr>
            <w:tcW w:w="2268" w:type="dxa"/>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822" w:type="dxa"/>
            <w:gridSpan w:val="13"/>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F42437">
        <w:trPr>
          <w:trHeight w:val="450"/>
        </w:trPr>
        <w:tc>
          <w:tcPr>
            <w:tcW w:w="3776" w:type="dxa"/>
            <w:gridSpan w:val="5"/>
            <w:vMerge/>
          </w:tcPr>
          <w:p w:rsidR="003730BE" w:rsidRPr="00B83A2B" w:rsidRDefault="003730BE" w:rsidP="00922CDB">
            <w:pPr>
              <w:pStyle w:val="Pagrindinistekstas"/>
              <w:rPr>
                <w:lang w:val="lt-LT"/>
              </w:rPr>
            </w:pPr>
          </w:p>
        </w:tc>
        <w:tc>
          <w:tcPr>
            <w:tcW w:w="2268" w:type="dxa"/>
            <w:vMerge/>
          </w:tcPr>
          <w:p w:rsidR="003730BE" w:rsidRPr="00B83A2B" w:rsidRDefault="003730BE" w:rsidP="00922CDB">
            <w:pPr>
              <w:pStyle w:val="Pagrindinistekstas"/>
              <w:rPr>
                <w:lang w:val="lt-LT"/>
              </w:rPr>
            </w:pPr>
          </w:p>
        </w:tc>
        <w:tc>
          <w:tcPr>
            <w:tcW w:w="1184" w:type="dxa"/>
            <w:gridSpan w:val="2"/>
          </w:tcPr>
          <w:p w:rsidR="003730BE" w:rsidRPr="00B83A2B" w:rsidRDefault="003730BE" w:rsidP="009E5B29">
            <w:pPr>
              <w:ind w:left="80"/>
              <w:jc w:val="center"/>
              <w:rPr>
                <w:bCs/>
              </w:rPr>
            </w:pPr>
            <w:r w:rsidRPr="00B83A2B">
              <w:rPr>
                <w:bCs/>
              </w:rPr>
              <w:t>201</w:t>
            </w:r>
            <w:r w:rsidR="009E5B29" w:rsidRPr="00B83A2B">
              <w:rPr>
                <w:bCs/>
              </w:rPr>
              <w:t>4</w:t>
            </w:r>
            <w:r w:rsidRPr="00B83A2B">
              <w:rPr>
                <w:bCs/>
              </w:rPr>
              <w:t xml:space="preserve"> </w:t>
            </w:r>
            <w:r w:rsidR="00F42437" w:rsidRPr="00B83A2B">
              <w:rPr>
                <w:bCs/>
              </w:rPr>
              <w:t>(</w:t>
            </w:r>
            <w:r w:rsidRPr="00B83A2B">
              <w:rPr>
                <w:bCs/>
              </w:rPr>
              <w:t>faktas</w:t>
            </w:r>
            <w:r w:rsidR="00F42437" w:rsidRPr="00B83A2B">
              <w:rPr>
                <w:bCs/>
              </w:rPr>
              <w:t>)</w:t>
            </w:r>
          </w:p>
        </w:tc>
        <w:tc>
          <w:tcPr>
            <w:tcW w:w="994" w:type="dxa"/>
            <w:gridSpan w:val="5"/>
          </w:tcPr>
          <w:p w:rsidR="003730BE" w:rsidRPr="00B83A2B" w:rsidRDefault="003730BE" w:rsidP="009E5B29">
            <w:pPr>
              <w:ind w:left="80"/>
              <w:jc w:val="center"/>
              <w:rPr>
                <w:bCs/>
              </w:rPr>
            </w:pPr>
            <w:r w:rsidRPr="00B83A2B">
              <w:rPr>
                <w:bCs/>
              </w:rPr>
              <w:t>201</w:t>
            </w:r>
            <w:r w:rsidR="009E5B29" w:rsidRPr="00B83A2B">
              <w:rPr>
                <w:bCs/>
              </w:rPr>
              <w:t>5</w:t>
            </w:r>
          </w:p>
        </w:tc>
        <w:tc>
          <w:tcPr>
            <w:tcW w:w="851" w:type="dxa"/>
          </w:tcPr>
          <w:p w:rsidR="003730BE" w:rsidRPr="00B83A2B" w:rsidRDefault="003730BE" w:rsidP="009E5B29">
            <w:pPr>
              <w:ind w:left="80"/>
              <w:jc w:val="center"/>
              <w:rPr>
                <w:bCs/>
              </w:rPr>
            </w:pPr>
            <w:r w:rsidRPr="00B83A2B">
              <w:rPr>
                <w:bCs/>
              </w:rPr>
              <w:t>201</w:t>
            </w:r>
            <w:r w:rsidR="009E5B29" w:rsidRPr="00B83A2B">
              <w:rPr>
                <w:bCs/>
              </w:rPr>
              <w:t>6</w:t>
            </w:r>
          </w:p>
        </w:tc>
        <w:tc>
          <w:tcPr>
            <w:tcW w:w="793" w:type="dxa"/>
            <w:gridSpan w:val="5"/>
          </w:tcPr>
          <w:p w:rsidR="003730BE" w:rsidRPr="00B83A2B" w:rsidRDefault="003730BE" w:rsidP="009E5B29">
            <w:pPr>
              <w:ind w:left="80"/>
              <w:jc w:val="center"/>
              <w:rPr>
                <w:bCs/>
              </w:rPr>
            </w:pPr>
            <w:r w:rsidRPr="00B83A2B">
              <w:rPr>
                <w:bCs/>
              </w:rPr>
              <w:t>201</w:t>
            </w:r>
            <w:r w:rsidR="009E5B29" w:rsidRPr="00B83A2B">
              <w:rPr>
                <w:bCs/>
              </w:rPr>
              <w:t>7</w:t>
            </w:r>
          </w:p>
        </w:tc>
      </w:tr>
      <w:tr w:rsidR="00F833B1" w:rsidRPr="00B83A2B" w:rsidTr="00F42437">
        <w:trPr>
          <w:trHeight w:val="450"/>
        </w:trPr>
        <w:tc>
          <w:tcPr>
            <w:tcW w:w="3776" w:type="dxa"/>
            <w:gridSpan w:val="5"/>
          </w:tcPr>
          <w:p w:rsidR="009E5B29" w:rsidRPr="00B83A2B" w:rsidRDefault="009E5B29" w:rsidP="00677446">
            <w:pPr>
              <w:pStyle w:val="Pagrindinistekstas"/>
              <w:rPr>
                <w:lang w:val="lt-LT"/>
              </w:rPr>
            </w:pPr>
            <w:r w:rsidRPr="00B83A2B">
              <w:rPr>
                <w:lang w:val="lt-LT"/>
              </w:rPr>
              <w:t>Ikimokyklinio ugdymo įstaigose ugdomų 1–7 metų vaikų dalis, lyginant su bendru to amžiaus vaikų skaičiumi (proc.)</w:t>
            </w:r>
          </w:p>
        </w:tc>
        <w:tc>
          <w:tcPr>
            <w:tcW w:w="2268" w:type="dxa"/>
          </w:tcPr>
          <w:p w:rsidR="009E5B29" w:rsidRPr="00B83A2B" w:rsidRDefault="009E5B29" w:rsidP="009E5B29">
            <w:pPr>
              <w:pStyle w:val="Pavadinimas"/>
              <w:rPr>
                <w:b w:val="0"/>
              </w:rPr>
            </w:pPr>
            <w:r w:rsidRPr="00B83A2B">
              <w:rPr>
                <w:b w:val="0"/>
              </w:rPr>
              <w:t>Ugdymo ir kultūros departamento Švietimo skyrius</w:t>
            </w:r>
          </w:p>
        </w:tc>
        <w:tc>
          <w:tcPr>
            <w:tcW w:w="1184" w:type="dxa"/>
            <w:gridSpan w:val="2"/>
          </w:tcPr>
          <w:p w:rsidR="009E5B29" w:rsidRPr="00B83A2B" w:rsidRDefault="009E5B29" w:rsidP="009760B5">
            <w:pPr>
              <w:ind w:left="80"/>
              <w:jc w:val="center"/>
              <w:rPr>
                <w:bCs/>
                <w:szCs w:val="18"/>
              </w:rPr>
            </w:pPr>
            <w:r w:rsidRPr="00B83A2B">
              <w:rPr>
                <w:bCs/>
                <w:szCs w:val="18"/>
              </w:rPr>
              <w:t>81</w:t>
            </w:r>
          </w:p>
        </w:tc>
        <w:tc>
          <w:tcPr>
            <w:tcW w:w="994" w:type="dxa"/>
            <w:gridSpan w:val="5"/>
          </w:tcPr>
          <w:p w:rsidR="009E5B29" w:rsidRPr="00B83A2B" w:rsidRDefault="009E5B29" w:rsidP="009760B5">
            <w:pPr>
              <w:ind w:left="80"/>
              <w:jc w:val="center"/>
              <w:rPr>
                <w:bCs/>
                <w:szCs w:val="18"/>
              </w:rPr>
            </w:pPr>
            <w:r w:rsidRPr="00B83A2B">
              <w:rPr>
                <w:bCs/>
                <w:szCs w:val="18"/>
              </w:rPr>
              <w:t>82,5</w:t>
            </w:r>
          </w:p>
        </w:tc>
        <w:tc>
          <w:tcPr>
            <w:tcW w:w="851" w:type="dxa"/>
          </w:tcPr>
          <w:p w:rsidR="009E5B29" w:rsidRPr="00B83A2B" w:rsidRDefault="009E5B29" w:rsidP="009760B5">
            <w:pPr>
              <w:ind w:left="80"/>
              <w:jc w:val="center"/>
              <w:rPr>
                <w:bCs/>
                <w:szCs w:val="18"/>
              </w:rPr>
            </w:pPr>
            <w:r w:rsidRPr="00B83A2B">
              <w:rPr>
                <w:bCs/>
                <w:szCs w:val="18"/>
              </w:rPr>
              <w:t>83</w:t>
            </w:r>
          </w:p>
        </w:tc>
        <w:tc>
          <w:tcPr>
            <w:tcW w:w="793" w:type="dxa"/>
            <w:gridSpan w:val="5"/>
          </w:tcPr>
          <w:p w:rsidR="009E5B29" w:rsidRPr="00B83A2B" w:rsidRDefault="009E5B29" w:rsidP="009760B5">
            <w:pPr>
              <w:ind w:left="80"/>
              <w:jc w:val="center"/>
              <w:rPr>
                <w:bCs/>
                <w:szCs w:val="18"/>
              </w:rPr>
            </w:pPr>
            <w:r w:rsidRPr="00B83A2B">
              <w:rPr>
                <w:bCs/>
                <w:szCs w:val="18"/>
              </w:rPr>
              <w:t>85</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Vidutiniškai 1 mokiniui bendrojo ugdymo mokyklose tenka aplinkos ir krepšelio lėšų tūkst. Lt</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5,7</w:t>
            </w:r>
          </w:p>
        </w:tc>
        <w:tc>
          <w:tcPr>
            <w:tcW w:w="994" w:type="dxa"/>
            <w:gridSpan w:val="5"/>
          </w:tcPr>
          <w:p w:rsidR="00371B49" w:rsidRPr="00B83A2B" w:rsidRDefault="00371B49" w:rsidP="009760B5">
            <w:pPr>
              <w:ind w:left="80"/>
              <w:jc w:val="center"/>
              <w:rPr>
                <w:bCs/>
                <w:szCs w:val="18"/>
              </w:rPr>
            </w:pPr>
            <w:r w:rsidRPr="00B83A2B">
              <w:rPr>
                <w:bCs/>
                <w:szCs w:val="18"/>
              </w:rPr>
              <w:t>5,7</w:t>
            </w:r>
          </w:p>
        </w:tc>
        <w:tc>
          <w:tcPr>
            <w:tcW w:w="851" w:type="dxa"/>
          </w:tcPr>
          <w:p w:rsidR="00371B49" w:rsidRPr="00B83A2B" w:rsidRDefault="00371B49" w:rsidP="009760B5">
            <w:pPr>
              <w:ind w:left="80"/>
              <w:jc w:val="center"/>
              <w:rPr>
                <w:bCs/>
                <w:szCs w:val="18"/>
              </w:rPr>
            </w:pPr>
            <w:r w:rsidRPr="00B83A2B">
              <w:rPr>
                <w:bCs/>
                <w:szCs w:val="18"/>
              </w:rPr>
              <w:t>5,7</w:t>
            </w:r>
          </w:p>
        </w:tc>
        <w:tc>
          <w:tcPr>
            <w:tcW w:w="793" w:type="dxa"/>
            <w:gridSpan w:val="5"/>
          </w:tcPr>
          <w:p w:rsidR="00371B49" w:rsidRPr="00B83A2B" w:rsidRDefault="00371B49" w:rsidP="009760B5">
            <w:pPr>
              <w:ind w:left="80"/>
              <w:jc w:val="center"/>
              <w:rPr>
                <w:bCs/>
                <w:szCs w:val="18"/>
              </w:rPr>
            </w:pPr>
            <w:r w:rsidRPr="00B83A2B">
              <w:rPr>
                <w:bCs/>
                <w:szCs w:val="18"/>
              </w:rPr>
              <w:t>5,7</w:t>
            </w:r>
          </w:p>
        </w:tc>
      </w:tr>
      <w:tr w:rsidR="00F833B1" w:rsidRPr="00B83A2B" w:rsidTr="00F42437">
        <w:trPr>
          <w:trHeight w:val="1188"/>
        </w:trPr>
        <w:tc>
          <w:tcPr>
            <w:tcW w:w="3776" w:type="dxa"/>
            <w:gridSpan w:val="5"/>
          </w:tcPr>
          <w:p w:rsidR="00371B49" w:rsidRPr="00B83A2B" w:rsidRDefault="00371B49" w:rsidP="00922CDB">
            <w:pPr>
              <w:pStyle w:val="Pagrindinistekstas"/>
              <w:rPr>
                <w:lang w:val="lt-LT"/>
              </w:rPr>
            </w:pPr>
            <w:r w:rsidRPr="00B83A2B">
              <w:rPr>
                <w:lang w:val="lt-LT"/>
              </w:rPr>
              <w:t>Vaikų, dalyvaujančių neformaliojo švietimo įstaigų programose, dalis nuo bendro mokinių skaičiaus (proc.)</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30</w:t>
            </w:r>
          </w:p>
        </w:tc>
        <w:tc>
          <w:tcPr>
            <w:tcW w:w="994" w:type="dxa"/>
            <w:gridSpan w:val="5"/>
          </w:tcPr>
          <w:p w:rsidR="00371B49" w:rsidRPr="00B83A2B" w:rsidRDefault="00371B49" w:rsidP="009760B5">
            <w:pPr>
              <w:ind w:left="80"/>
              <w:jc w:val="center"/>
              <w:rPr>
                <w:bCs/>
                <w:szCs w:val="18"/>
              </w:rPr>
            </w:pPr>
            <w:r w:rsidRPr="00B83A2B">
              <w:rPr>
                <w:bCs/>
                <w:szCs w:val="18"/>
              </w:rPr>
              <w:t>31</w:t>
            </w:r>
          </w:p>
        </w:tc>
        <w:tc>
          <w:tcPr>
            <w:tcW w:w="851" w:type="dxa"/>
          </w:tcPr>
          <w:p w:rsidR="00371B49" w:rsidRPr="00B83A2B" w:rsidRDefault="00371B49" w:rsidP="009760B5">
            <w:pPr>
              <w:ind w:left="80"/>
              <w:jc w:val="center"/>
              <w:rPr>
                <w:bCs/>
                <w:szCs w:val="18"/>
              </w:rPr>
            </w:pPr>
            <w:r w:rsidRPr="00B83A2B">
              <w:rPr>
                <w:bCs/>
                <w:szCs w:val="18"/>
              </w:rPr>
              <w:t>32</w:t>
            </w:r>
          </w:p>
        </w:tc>
        <w:tc>
          <w:tcPr>
            <w:tcW w:w="793" w:type="dxa"/>
            <w:gridSpan w:val="5"/>
          </w:tcPr>
          <w:p w:rsidR="00371B49" w:rsidRPr="00B83A2B" w:rsidRDefault="00371B49" w:rsidP="009760B5">
            <w:pPr>
              <w:ind w:left="80"/>
              <w:jc w:val="center"/>
              <w:rPr>
                <w:bCs/>
                <w:szCs w:val="18"/>
              </w:rPr>
            </w:pPr>
            <w:r w:rsidRPr="00B83A2B">
              <w:rPr>
                <w:bCs/>
                <w:szCs w:val="18"/>
              </w:rPr>
              <w:t>33</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Mokinių, kuriems suteikta individuali specialioji ir psichologinė pagalba, dalis nuo bendro mokinių  skaičiaus (proc.)</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24</w:t>
            </w:r>
          </w:p>
        </w:tc>
        <w:tc>
          <w:tcPr>
            <w:tcW w:w="994" w:type="dxa"/>
            <w:gridSpan w:val="5"/>
          </w:tcPr>
          <w:p w:rsidR="00371B49" w:rsidRPr="00B83A2B" w:rsidRDefault="00371B49" w:rsidP="009760B5">
            <w:pPr>
              <w:ind w:left="80"/>
              <w:jc w:val="center"/>
              <w:rPr>
                <w:bCs/>
                <w:szCs w:val="18"/>
              </w:rPr>
            </w:pPr>
            <w:r w:rsidRPr="00B83A2B">
              <w:rPr>
                <w:bCs/>
                <w:szCs w:val="18"/>
              </w:rPr>
              <w:t>25</w:t>
            </w:r>
          </w:p>
        </w:tc>
        <w:tc>
          <w:tcPr>
            <w:tcW w:w="851" w:type="dxa"/>
          </w:tcPr>
          <w:p w:rsidR="00371B49" w:rsidRPr="00B83A2B" w:rsidRDefault="00371B49" w:rsidP="009760B5">
            <w:pPr>
              <w:ind w:left="80"/>
              <w:jc w:val="center"/>
              <w:rPr>
                <w:bCs/>
                <w:szCs w:val="18"/>
              </w:rPr>
            </w:pPr>
            <w:r w:rsidRPr="00B83A2B">
              <w:rPr>
                <w:bCs/>
                <w:szCs w:val="18"/>
              </w:rPr>
              <w:t>26</w:t>
            </w:r>
          </w:p>
        </w:tc>
        <w:tc>
          <w:tcPr>
            <w:tcW w:w="793" w:type="dxa"/>
            <w:gridSpan w:val="5"/>
          </w:tcPr>
          <w:p w:rsidR="00371B49" w:rsidRPr="00B83A2B" w:rsidRDefault="00371B49" w:rsidP="009760B5">
            <w:pPr>
              <w:ind w:left="80"/>
              <w:jc w:val="center"/>
              <w:rPr>
                <w:bCs/>
                <w:szCs w:val="18"/>
              </w:rPr>
            </w:pPr>
            <w:r w:rsidRPr="00B83A2B">
              <w:rPr>
                <w:bCs/>
                <w:szCs w:val="18"/>
              </w:rPr>
              <w:t>27</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Įgyvendintų kvalifikacijos tobulinimo programų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250</w:t>
            </w:r>
          </w:p>
        </w:tc>
        <w:tc>
          <w:tcPr>
            <w:tcW w:w="994" w:type="dxa"/>
            <w:gridSpan w:val="5"/>
          </w:tcPr>
          <w:p w:rsidR="00371B49" w:rsidRPr="00B83A2B" w:rsidRDefault="00371B49" w:rsidP="009760B5">
            <w:pPr>
              <w:ind w:left="80"/>
              <w:jc w:val="center"/>
              <w:rPr>
                <w:bCs/>
                <w:szCs w:val="18"/>
              </w:rPr>
            </w:pPr>
            <w:r w:rsidRPr="00B83A2B">
              <w:rPr>
                <w:bCs/>
                <w:szCs w:val="18"/>
              </w:rPr>
              <w:t>250</w:t>
            </w:r>
          </w:p>
        </w:tc>
        <w:tc>
          <w:tcPr>
            <w:tcW w:w="851" w:type="dxa"/>
          </w:tcPr>
          <w:p w:rsidR="00371B49" w:rsidRPr="00B83A2B" w:rsidRDefault="00371B49" w:rsidP="009760B5">
            <w:pPr>
              <w:ind w:left="80"/>
              <w:jc w:val="center"/>
              <w:rPr>
                <w:bCs/>
                <w:szCs w:val="18"/>
              </w:rPr>
            </w:pPr>
            <w:r w:rsidRPr="00B83A2B">
              <w:rPr>
                <w:bCs/>
                <w:szCs w:val="18"/>
              </w:rPr>
              <w:t>255</w:t>
            </w:r>
          </w:p>
        </w:tc>
        <w:tc>
          <w:tcPr>
            <w:tcW w:w="793" w:type="dxa"/>
            <w:gridSpan w:val="5"/>
          </w:tcPr>
          <w:p w:rsidR="00371B49" w:rsidRPr="00B83A2B" w:rsidRDefault="00371B49" w:rsidP="009760B5">
            <w:pPr>
              <w:ind w:left="80"/>
              <w:jc w:val="center"/>
              <w:rPr>
                <w:bCs/>
                <w:szCs w:val="18"/>
              </w:rPr>
            </w:pPr>
            <w:r w:rsidRPr="00B83A2B">
              <w:rPr>
                <w:bCs/>
                <w:szCs w:val="18"/>
              </w:rPr>
              <w:t>260</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Organizuotų renginių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180</w:t>
            </w:r>
          </w:p>
        </w:tc>
        <w:tc>
          <w:tcPr>
            <w:tcW w:w="994" w:type="dxa"/>
            <w:gridSpan w:val="5"/>
          </w:tcPr>
          <w:p w:rsidR="00371B49" w:rsidRPr="00B83A2B" w:rsidRDefault="00371B49" w:rsidP="009760B5">
            <w:pPr>
              <w:ind w:left="80"/>
              <w:jc w:val="center"/>
              <w:rPr>
                <w:bCs/>
                <w:szCs w:val="18"/>
              </w:rPr>
            </w:pPr>
            <w:r w:rsidRPr="00B83A2B">
              <w:rPr>
                <w:bCs/>
                <w:szCs w:val="18"/>
              </w:rPr>
              <w:t>180</w:t>
            </w:r>
          </w:p>
        </w:tc>
        <w:tc>
          <w:tcPr>
            <w:tcW w:w="851" w:type="dxa"/>
          </w:tcPr>
          <w:p w:rsidR="00371B49" w:rsidRPr="00B83A2B" w:rsidRDefault="00371B49" w:rsidP="009760B5">
            <w:pPr>
              <w:ind w:left="80"/>
              <w:jc w:val="center"/>
              <w:rPr>
                <w:bCs/>
                <w:szCs w:val="18"/>
              </w:rPr>
            </w:pPr>
            <w:r w:rsidRPr="00B83A2B">
              <w:rPr>
                <w:bCs/>
                <w:szCs w:val="18"/>
              </w:rPr>
              <w:t>180</w:t>
            </w:r>
          </w:p>
        </w:tc>
        <w:tc>
          <w:tcPr>
            <w:tcW w:w="793" w:type="dxa"/>
            <w:gridSpan w:val="5"/>
          </w:tcPr>
          <w:p w:rsidR="00371B49" w:rsidRPr="00B83A2B" w:rsidRDefault="00371B49" w:rsidP="009760B5">
            <w:pPr>
              <w:ind w:left="80"/>
              <w:jc w:val="center"/>
              <w:rPr>
                <w:bCs/>
                <w:szCs w:val="18"/>
              </w:rPr>
            </w:pPr>
            <w:r w:rsidRPr="00B83A2B">
              <w:rPr>
                <w:bCs/>
                <w:szCs w:val="18"/>
              </w:rPr>
              <w:t>180</w:t>
            </w:r>
          </w:p>
        </w:tc>
      </w:tr>
      <w:tr w:rsidR="00F833B1" w:rsidRPr="00B83A2B" w:rsidTr="00F42437">
        <w:tblPrEx>
          <w:tblLook w:val="01E0" w:firstRow="1" w:lastRow="1" w:firstColumn="1" w:lastColumn="1" w:noHBand="0" w:noVBand="0"/>
        </w:tblPrEx>
        <w:tc>
          <w:tcPr>
            <w:tcW w:w="2756" w:type="dxa"/>
            <w:gridSpan w:val="2"/>
          </w:tcPr>
          <w:p w:rsidR="003730BE" w:rsidRPr="00B83A2B" w:rsidRDefault="00371B49" w:rsidP="00EA797B">
            <w:pPr>
              <w:rPr>
                <w:b/>
                <w:strike/>
              </w:rPr>
            </w:pPr>
            <w:r w:rsidRPr="00B83A2B">
              <w:br w:type="page"/>
            </w:r>
            <w:r w:rsidR="003730BE" w:rsidRPr="00B83A2B">
              <w:rPr>
                <w:b/>
                <w:bCs/>
              </w:rPr>
              <w:t>Programos tikslas</w:t>
            </w:r>
          </w:p>
        </w:tc>
        <w:tc>
          <w:tcPr>
            <w:tcW w:w="5423" w:type="dxa"/>
            <w:gridSpan w:val="9"/>
          </w:tcPr>
          <w:p w:rsidR="003730BE" w:rsidRPr="00B83A2B" w:rsidRDefault="003730BE" w:rsidP="00EA797B">
            <w:pPr>
              <w:rPr>
                <w:strike/>
              </w:rPr>
            </w:pPr>
            <w:r w:rsidRPr="00B83A2B">
              <w:t>Gerinti ugdymo sąlygas ir aplinką</w:t>
            </w:r>
          </w:p>
        </w:tc>
        <w:tc>
          <w:tcPr>
            <w:tcW w:w="935" w:type="dxa"/>
            <w:gridSpan w:val="4"/>
          </w:tcPr>
          <w:p w:rsidR="003730BE" w:rsidRPr="00B83A2B" w:rsidRDefault="003730BE" w:rsidP="00EA797B">
            <w:pPr>
              <w:rPr>
                <w:b/>
                <w:strike/>
              </w:rPr>
            </w:pPr>
            <w:r w:rsidRPr="00B83A2B">
              <w:rPr>
                <w:b/>
                <w:bCs/>
              </w:rPr>
              <w:t>Kodas</w:t>
            </w:r>
          </w:p>
        </w:tc>
        <w:tc>
          <w:tcPr>
            <w:tcW w:w="752" w:type="dxa"/>
            <w:gridSpan w:val="4"/>
          </w:tcPr>
          <w:p w:rsidR="003730BE" w:rsidRPr="00B83A2B" w:rsidRDefault="003730BE" w:rsidP="00EA797B">
            <w:pPr>
              <w:rPr>
                <w:b/>
                <w:strike/>
              </w:rPr>
            </w:pPr>
            <w:r w:rsidRPr="00B83A2B">
              <w:rPr>
                <w:b/>
              </w:rPr>
              <w:t>02</w:t>
            </w:r>
          </w:p>
        </w:tc>
      </w:tr>
      <w:tr w:rsidR="00F833B1" w:rsidRPr="00B83A2B" w:rsidTr="004D64E7">
        <w:tblPrEx>
          <w:tblLook w:val="01E0" w:firstRow="1" w:lastRow="1" w:firstColumn="1" w:lastColumn="1" w:noHBand="0" w:noVBand="0"/>
        </w:tblPrEx>
        <w:tc>
          <w:tcPr>
            <w:tcW w:w="9866" w:type="dxa"/>
            <w:gridSpan w:val="19"/>
            <w:shd w:val="clear" w:color="auto" w:fill="auto"/>
          </w:tcPr>
          <w:p w:rsidR="003730B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Tikslo įgyvendinimo aprašymas:</w:t>
            </w:r>
          </w:p>
          <w:p w:rsidR="00407CD0" w:rsidRPr="00B83A2B" w:rsidRDefault="003730BE" w:rsidP="00EF30BC">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Daugelis Klaipėdos miesto švietimo įstaigų neatitinka ugdymo įstaigoms keliamų higieninių reikalavimų ir mokyklų aprūpinimo standartų. Esant blogam apšvietimui, netinkamiems baldams didėja vaikų, sergančių trumparegyste ir </w:t>
            </w:r>
            <w:proofErr w:type="spellStart"/>
            <w:r w:rsidRPr="00B83A2B">
              <w:rPr>
                <w:lang w:val="lt-LT"/>
              </w:rPr>
              <w:t>skolioze</w:t>
            </w:r>
            <w:proofErr w:type="spellEnd"/>
            <w:r w:rsidRPr="00B83A2B">
              <w:rPr>
                <w:lang w:val="lt-LT"/>
              </w:rPr>
              <w:t xml:space="preserve">, skaičius. Nors kasmet pagal įvairias programas atnaujinamos mokymo priemonės, vykdomi pastatų tvarkymo darbai, tačiau lėšų </w:t>
            </w:r>
            <w:r w:rsidR="009941F0" w:rsidRPr="00B83A2B">
              <w:rPr>
                <w:lang w:val="lt-LT"/>
              </w:rPr>
              <w:t>nepakank</w:t>
            </w:r>
            <w:r w:rsidRPr="00B83A2B">
              <w:rPr>
                <w:lang w:val="lt-LT"/>
              </w:rPr>
              <w:t xml:space="preserve">a įstaigų </w:t>
            </w:r>
            <w:r w:rsidRPr="00B83A2B">
              <w:rPr>
                <w:lang w:val="lt-LT"/>
              </w:rPr>
              <w:lastRenderedPageBreak/>
              <w:t xml:space="preserve">teritorijų tvarkymui, ikimokyklinių įstaigų grupių ir patalpų, pritaikomų švietimo veiklai,  pertvarkymui ir baldų atnaujinimui, virtuvių įrengimų įsigijimui. Numatoma vykdyti priemones, kurios turi netiesioginės įtakos ugdymo </w:t>
            </w:r>
            <w:r w:rsidR="005071FB" w:rsidRPr="00B83A2B">
              <w:rPr>
                <w:lang w:val="lt-LT"/>
              </w:rPr>
              <w:t>procesui – mokinių ir neįgalių</w:t>
            </w:r>
            <w:r w:rsidRPr="00B83A2B">
              <w:rPr>
                <w:lang w:val="lt-LT"/>
              </w:rPr>
              <w:t xml:space="preserve"> ikimokyklinio amžiaus vaikų pavėžėjimą</w:t>
            </w:r>
            <w:r w:rsidR="00407CD0" w:rsidRPr="00B83A2B">
              <w:rPr>
                <w:lang w:val="lt-LT"/>
              </w:rPr>
              <w:t>,</w:t>
            </w:r>
            <w:r w:rsidRPr="00B83A2B">
              <w:rPr>
                <w:lang w:val="lt-LT"/>
              </w:rPr>
              <w:t xml:space="preserve"> </w:t>
            </w:r>
            <w:r w:rsidR="00407CD0" w:rsidRPr="00B83A2B">
              <w:rPr>
                <w:lang w:val="lt-LT"/>
              </w:rPr>
              <w:t xml:space="preserve">darbo vietų atitikties švietimo įstaigose vertinimą, todėl būtina numatyti lėšų šių priemonių vykdymui. </w:t>
            </w:r>
          </w:p>
          <w:p w:rsidR="003730BE" w:rsidRPr="00B83A2B" w:rsidRDefault="00B85030"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w:t>
            </w:r>
            <w:r w:rsidR="003730BE" w:rsidRPr="00B83A2B">
              <w:rPr>
                <w:b/>
                <w:lang w:val="lt-LT"/>
              </w:rPr>
              <w:t xml:space="preserve">01 </w:t>
            </w:r>
            <w:r w:rsidR="003730BE" w:rsidRPr="00B83A2B">
              <w:rPr>
                <w:b/>
                <w:bCs/>
                <w:lang w:val="lt-LT"/>
              </w:rPr>
              <w:t>uždavinys</w:t>
            </w:r>
            <w:r w:rsidR="003730BE" w:rsidRPr="00B83A2B">
              <w:rPr>
                <w:b/>
                <w:lang w:val="lt-LT"/>
              </w:rPr>
              <w:t xml:space="preserve">. Renovuoti ugdymo įstaigų pastatus ir patalpas. </w:t>
            </w:r>
          </w:p>
          <w:p w:rsidR="00071017" w:rsidRPr="00B83A2B" w:rsidRDefault="003730BE" w:rsidP="00071017">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Įgyvendinant šį uždavinį, mokyklų pastatams modernizuoti bus panaudotos ne tik savivaldybės, bet ir valstybės investici</w:t>
            </w:r>
            <w:r w:rsidR="009941F0" w:rsidRPr="00B83A2B">
              <w:rPr>
                <w:lang w:val="lt-LT"/>
              </w:rPr>
              <w:t>jų</w:t>
            </w:r>
            <w:r w:rsidRPr="00B83A2B">
              <w:rPr>
                <w:lang w:val="lt-LT"/>
              </w:rPr>
              <w:t xml:space="preserve"> bei Europos Sąjungos struktūrinės paramos lėšos. </w:t>
            </w:r>
            <w:r w:rsidR="00B12950" w:rsidRPr="00B83A2B">
              <w:rPr>
                <w:lang w:val="lt-LT"/>
              </w:rPr>
              <w:t xml:space="preserve">2015 m. bus užbaigtas Klaipėdos Vydūno vidurinės mokyklos ir Klaipėdos Salio </w:t>
            </w:r>
            <w:proofErr w:type="spellStart"/>
            <w:r w:rsidR="00B12950" w:rsidRPr="00B83A2B">
              <w:rPr>
                <w:lang w:val="lt-LT"/>
              </w:rPr>
              <w:t>Šemerio</w:t>
            </w:r>
            <w:proofErr w:type="spellEnd"/>
            <w:r w:rsidR="00B12950" w:rsidRPr="00B83A2B">
              <w:rPr>
                <w:lang w:val="lt-LT"/>
              </w:rPr>
              <w:t xml:space="preserve"> suaugusiųjų gimnazijos pastato Klaipėdoje, Sulupės g. 26, modernizavimas. </w:t>
            </w:r>
          </w:p>
          <w:p w:rsidR="00AA02E6" w:rsidRPr="00B83A2B" w:rsidRDefault="00A96049"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Kl</w:t>
            </w:r>
            <w:r w:rsidR="004352B9" w:rsidRPr="00B83A2B">
              <w:rPr>
                <w:lang w:val="lt-LT"/>
              </w:rPr>
              <w:t xml:space="preserve">aipėdos miesto savivaldybė dalyvauja įgyvendinant </w:t>
            </w:r>
            <w:r w:rsidR="004352B9" w:rsidRPr="00B83A2B">
              <w:rPr>
                <w:lang w:val="lt-LT" w:eastAsia="lt-LT"/>
              </w:rPr>
              <w:t>2014–2020 metų nacionalinės pažangos programos horizontaliojo prioriteto „Regioninė plėtra“ tarpinstitucin</w:t>
            </w:r>
            <w:r w:rsidR="00343A2E">
              <w:rPr>
                <w:lang w:val="lt-LT" w:eastAsia="lt-LT"/>
              </w:rPr>
              <w:t>io</w:t>
            </w:r>
            <w:r w:rsidR="004352B9" w:rsidRPr="00B83A2B">
              <w:rPr>
                <w:lang w:val="lt-LT" w:eastAsia="lt-LT"/>
              </w:rPr>
              <w:t xml:space="preserve"> veiklos plano </w:t>
            </w:r>
            <w:r w:rsidR="00B22B59" w:rsidRPr="00B83A2B">
              <w:rPr>
                <w:lang w:val="lt-LT"/>
              </w:rPr>
              <w:t>priemonę „</w:t>
            </w:r>
            <w:r w:rsidR="00071017" w:rsidRPr="00B83A2B">
              <w:rPr>
                <w:lang w:val="lt-LT"/>
              </w:rPr>
              <w:t>S</w:t>
            </w:r>
            <w:r w:rsidR="00071017" w:rsidRPr="00B83A2B">
              <w:rPr>
                <w:lang w:val="lt-LT" w:eastAsia="lt-LT"/>
              </w:rPr>
              <w:t>teigti garantinį fondą (su palūkanų kompensavimu) savivaldybei priklausančių pastatų energinio efektyvumo didinimo projektams finansuoti (finansų inžinerija)</w:t>
            </w:r>
            <w:r w:rsidR="00B22B59" w:rsidRPr="00B83A2B">
              <w:rPr>
                <w:lang w:val="lt-LT" w:eastAsia="lt-LT"/>
              </w:rPr>
              <w:t>“</w:t>
            </w:r>
            <w:r w:rsidR="004352B9" w:rsidRPr="00B83A2B">
              <w:rPr>
                <w:lang w:val="lt-LT" w:eastAsia="lt-LT"/>
              </w:rPr>
              <w:t xml:space="preserve">. </w:t>
            </w:r>
            <w:r w:rsidR="00071017" w:rsidRPr="00B83A2B">
              <w:rPr>
                <w:lang w:val="lt-LT" w:eastAsia="lt-LT"/>
              </w:rPr>
              <w:t xml:space="preserve">Panaudojant ES lėšas bus </w:t>
            </w:r>
            <w:r w:rsidRPr="00B83A2B">
              <w:rPr>
                <w:lang w:val="lt-LT" w:eastAsia="lt-LT"/>
              </w:rPr>
              <w:t xml:space="preserve">modernizuoti </w:t>
            </w:r>
            <w:r w:rsidR="004352B9" w:rsidRPr="00B83A2B">
              <w:rPr>
                <w:sz w:val="20"/>
                <w:szCs w:val="20"/>
                <w:lang w:val="lt-LT" w:eastAsia="lt-LT"/>
              </w:rPr>
              <w:t>l</w:t>
            </w:r>
            <w:r w:rsidRPr="00B83A2B">
              <w:rPr>
                <w:lang w:val="lt-LT" w:eastAsia="lt-LT"/>
              </w:rPr>
              <w:t>opšeli</w:t>
            </w:r>
            <w:r w:rsidR="004352B9" w:rsidRPr="00B83A2B">
              <w:rPr>
                <w:lang w:val="lt-LT" w:eastAsia="lt-LT"/>
              </w:rPr>
              <w:t>ų</w:t>
            </w:r>
            <w:r w:rsidRPr="00B83A2B">
              <w:rPr>
                <w:lang w:val="lt-LT" w:eastAsia="lt-LT"/>
              </w:rPr>
              <w:t>-darželi</w:t>
            </w:r>
            <w:r w:rsidR="004352B9" w:rsidRPr="00B83A2B">
              <w:rPr>
                <w:lang w:val="lt-LT" w:eastAsia="lt-LT"/>
              </w:rPr>
              <w:t>ų</w:t>
            </w:r>
            <w:r w:rsidRPr="00B83A2B">
              <w:rPr>
                <w:lang w:val="lt-LT" w:eastAsia="lt-LT"/>
              </w:rPr>
              <w:t xml:space="preserve"> „Žiogelis“, „</w:t>
            </w:r>
            <w:proofErr w:type="spellStart"/>
            <w:r w:rsidRPr="00B83A2B">
              <w:rPr>
                <w:lang w:val="lt-LT" w:eastAsia="lt-LT"/>
              </w:rPr>
              <w:t>Klevelis</w:t>
            </w:r>
            <w:proofErr w:type="spellEnd"/>
            <w:r w:rsidRPr="00B83A2B">
              <w:rPr>
                <w:lang w:val="lt-LT" w:eastAsia="lt-LT"/>
              </w:rPr>
              <w:t xml:space="preserve">“, </w:t>
            </w:r>
            <w:r w:rsidR="004352B9" w:rsidRPr="00B83A2B">
              <w:rPr>
                <w:lang w:val="lt-LT" w:eastAsia="lt-LT"/>
              </w:rPr>
              <w:t>„</w:t>
            </w:r>
            <w:proofErr w:type="spellStart"/>
            <w:r w:rsidR="004352B9" w:rsidRPr="00B83A2B">
              <w:rPr>
                <w:lang w:val="lt-LT" w:eastAsia="lt-LT"/>
              </w:rPr>
              <w:t>Svirpliukas</w:t>
            </w:r>
            <w:proofErr w:type="spellEnd"/>
            <w:r w:rsidR="004352B9" w:rsidRPr="00B83A2B">
              <w:rPr>
                <w:lang w:val="lt-LT" w:eastAsia="lt-LT"/>
              </w:rPr>
              <w:t>“, „</w:t>
            </w:r>
            <w:proofErr w:type="spellStart"/>
            <w:r w:rsidR="004352B9" w:rsidRPr="00B83A2B">
              <w:rPr>
                <w:lang w:val="lt-LT" w:eastAsia="lt-LT"/>
              </w:rPr>
              <w:t>Radastėlė</w:t>
            </w:r>
            <w:proofErr w:type="spellEnd"/>
            <w:r w:rsidR="004352B9" w:rsidRPr="00B83A2B">
              <w:rPr>
                <w:lang w:val="lt-LT" w:eastAsia="lt-LT"/>
              </w:rPr>
              <w:t>“</w:t>
            </w:r>
            <w:r w:rsidR="002D7C44" w:rsidRPr="00B83A2B">
              <w:rPr>
                <w:lang w:val="lt-LT" w:eastAsia="lt-LT"/>
              </w:rPr>
              <w:t>, „Saulutės“ m</w:t>
            </w:r>
            <w:r w:rsidR="00343A2E">
              <w:rPr>
                <w:lang w:val="lt-LT" w:eastAsia="lt-LT"/>
              </w:rPr>
              <w:t>okykl</w:t>
            </w:r>
            <w:r w:rsidR="00382CB1">
              <w:rPr>
                <w:lang w:val="lt-LT" w:eastAsia="lt-LT"/>
              </w:rPr>
              <w:t>os</w:t>
            </w:r>
            <w:r w:rsidR="00343A2E">
              <w:rPr>
                <w:lang w:val="lt-LT" w:eastAsia="lt-LT"/>
              </w:rPr>
              <w:t>-</w:t>
            </w:r>
            <w:r w:rsidR="002D7C44" w:rsidRPr="00B83A2B">
              <w:rPr>
                <w:lang w:val="lt-LT" w:eastAsia="lt-LT"/>
              </w:rPr>
              <w:t>d</w:t>
            </w:r>
            <w:r w:rsidR="00343A2E">
              <w:rPr>
                <w:lang w:val="lt-LT" w:eastAsia="lt-LT"/>
              </w:rPr>
              <w:t>arželi</w:t>
            </w:r>
            <w:r w:rsidR="00382CB1">
              <w:rPr>
                <w:lang w:val="lt-LT" w:eastAsia="lt-LT"/>
              </w:rPr>
              <w:t>o</w:t>
            </w:r>
            <w:r w:rsidR="002D7C44" w:rsidRPr="00B83A2B">
              <w:rPr>
                <w:lang w:val="lt-LT" w:eastAsia="lt-LT"/>
              </w:rPr>
              <w:t xml:space="preserve"> pastatai</w:t>
            </w:r>
            <w:r w:rsidR="0004308C" w:rsidRPr="00B83A2B">
              <w:rPr>
                <w:lang w:val="lt-LT" w:eastAsia="lt-LT"/>
              </w:rPr>
              <w:t>, 2015 m. planuojama atlikti šių įstaigų energetinius auditus.</w:t>
            </w:r>
            <w:r w:rsidR="00AA02E6" w:rsidRPr="00B83A2B">
              <w:rPr>
                <w:lang w:val="lt-LT"/>
              </w:rPr>
              <w:t xml:space="preserve"> </w:t>
            </w:r>
          </w:p>
          <w:p w:rsidR="009E0503" w:rsidRPr="00B83A2B" w:rsidRDefault="00AA02E6"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eastAsia="lt-LT"/>
              </w:rPr>
            </w:pPr>
            <w:r w:rsidRPr="00B83A2B">
              <w:rPr>
                <w:lang w:val="lt-LT"/>
              </w:rPr>
              <w:t xml:space="preserve">Gavus finansavimą iš LAAIF programos bus modernizuojamas lopšelio-darželio „Atžalynas“ (Panevėžio g. 3) pastatas. 2015 m. bus parengtas techninis projektas, o 2016 m. </w:t>
            </w:r>
            <w:r w:rsidR="00382CB1">
              <w:rPr>
                <w:lang w:val="lt-LT"/>
              </w:rPr>
              <w:t>–</w:t>
            </w:r>
            <w:r w:rsidRPr="00B83A2B">
              <w:rPr>
                <w:lang w:val="lt-LT"/>
              </w:rPr>
              <w:t xml:space="preserve"> atlikta pastato renovacija.</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w:t>
            </w:r>
            <w:r w:rsidR="001E62C4" w:rsidRPr="00B83A2B">
              <w:rPr>
                <w:lang w:val="lt-LT"/>
              </w:rPr>
              <w:t>5</w:t>
            </w:r>
            <w:r w:rsidRPr="00B83A2B">
              <w:rPr>
                <w:lang w:val="lt-LT"/>
              </w:rPr>
              <w:t xml:space="preserve"> m. planuojama užbaigti Adomo Brako dailės mokyklos pastato kapitalinį remontą </w:t>
            </w:r>
            <w:r w:rsidR="00605DD2" w:rsidRPr="00B83A2B">
              <w:rPr>
                <w:lang w:val="lt-LT"/>
              </w:rPr>
              <w:t>–</w:t>
            </w:r>
            <w:r w:rsidRPr="00B83A2B">
              <w:rPr>
                <w:lang w:val="lt-LT"/>
              </w:rPr>
              <w:t xml:space="preserve"> atlikti naujojo ir senojo pastato šiluminę renovaciją bei kitus tvarkomuosius paveldosaugos darbus.</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73121E" w:rsidRPr="00B83A2B">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2015 m. bus atlikti būtiniausi darbai – likviduojama Jaunimo centro pastato stogo avarinė būklė. </w:t>
            </w:r>
          </w:p>
          <w:p w:rsidR="00EF30BC"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Kasmet atliekant švietimo stebėseną, vertinama ikimokyklinio, priešmokyklinio ir mokyklinio amžiaus vaikų skaičiaus kaita, pastatų </w:t>
            </w:r>
            <w:proofErr w:type="spellStart"/>
            <w:r w:rsidRPr="00B83A2B">
              <w:rPr>
                <w:lang w:val="lt-LT"/>
              </w:rPr>
              <w:t>užpildomumas</w:t>
            </w:r>
            <w:proofErr w:type="spellEnd"/>
            <w:r w:rsidRPr="00B83A2B">
              <w:rPr>
                <w:lang w:val="lt-LT"/>
              </w:rPr>
              <w:t xml:space="preserve">, švietimo aplinka ir įstaigų aprūpinimas, todėl planuojamos įgyvendinti priemonės, susijusios su patalpų švietimo reikmėms pritaikymu ir inventoriaus atnaujinimu. Vykdant šį uždavinį, galimas ugdymo įstaigų veiklos perkėlimas į kitas patalpas, siekiant padidinti ikimokyklinio, priešmokyklinio ir bendrojo ugdymo vietų skaičių </w:t>
            </w:r>
            <w:r w:rsidR="00C54B3A">
              <w:rPr>
                <w:lang w:val="lt-LT"/>
              </w:rPr>
              <w:t>š</w:t>
            </w:r>
            <w:r w:rsidRPr="00B83A2B">
              <w:rPr>
                <w:lang w:val="lt-LT"/>
              </w:rPr>
              <w:t xml:space="preserve">iaurinėje miesto dalyje. Miesto </w:t>
            </w:r>
            <w:r w:rsidR="00EF30BC" w:rsidRPr="00B83A2B">
              <w:rPr>
                <w:lang w:val="lt-LT"/>
              </w:rPr>
              <w:t>susisiekimo sistemoje</w:t>
            </w:r>
            <w:r w:rsidRPr="00B83A2B">
              <w:rPr>
                <w:lang w:val="lt-LT"/>
              </w:rPr>
              <w:t xml:space="preserve"> vykdomi pokyčiai (tiesiamas Baltijos prospekto tęsinys iki Žvejybos mikrorajono) sąlygoja tai, kad lopšeli</w:t>
            </w:r>
            <w:r w:rsidR="00EF30BC" w:rsidRPr="00B83A2B">
              <w:rPr>
                <w:lang w:val="lt-LT"/>
              </w:rPr>
              <w:t>o</w:t>
            </w:r>
            <w:r w:rsidRPr="00B83A2B">
              <w:rPr>
                <w:lang w:val="lt-LT"/>
              </w:rPr>
              <w:t>-darželi</w:t>
            </w:r>
            <w:r w:rsidR="00EF30BC" w:rsidRPr="00B83A2B">
              <w:rPr>
                <w:lang w:val="lt-LT"/>
              </w:rPr>
              <w:t>o</w:t>
            </w:r>
            <w:r w:rsidRPr="00B83A2B">
              <w:rPr>
                <w:lang w:val="lt-LT"/>
              </w:rPr>
              <w:t xml:space="preserve"> „Aušrinė“ </w:t>
            </w:r>
            <w:r w:rsidR="00EF30BC" w:rsidRPr="00B83A2B">
              <w:rPr>
                <w:lang w:val="lt-LT"/>
              </w:rPr>
              <w:t xml:space="preserve">pastatai </w:t>
            </w:r>
            <w:r w:rsidRPr="00B83A2B">
              <w:rPr>
                <w:lang w:val="lt-LT"/>
              </w:rPr>
              <w:t>nebeatitinka ikimokyklinio ugdymo Higienos normoje keliamų reikalavimų, todėl numatyta pastatyti priestatą prie lopšelio-darželio „Puriena“</w:t>
            </w:r>
            <w:r w:rsidR="00EF30BC" w:rsidRPr="00B83A2B">
              <w:rPr>
                <w:lang w:val="lt-LT"/>
              </w:rPr>
              <w:t xml:space="preserve"> ir ten perkelti minėtą įstaigą</w:t>
            </w:r>
            <w:r w:rsidRPr="00B83A2B">
              <w:rPr>
                <w:lang w:val="lt-LT"/>
              </w:rPr>
              <w:t xml:space="preserve">. </w:t>
            </w:r>
          </w:p>
          <w:p w:rsidR="0073121E"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Vykdant patalpų pritaikymą bendrojo ugdymo mokyklų reikmėms 2015 m. planuojama pritaikyti patalpas reabilitacinėms paslaugoms teikti ir įsigyti reikiamos medicininės įrangos ,,Medeinės“ mokyklos spec. poreikių mokiniams jų sveikatos stiprinimui. </w:t>
            </w:r>
          </w:p>
          <w:p w:rsidR="000630DA"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2015 m. planuojamos lėšos Klaipėdos Jeronimo Kačinsko muzikos mokyklos pastatо langų pakeitimui.</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b/>
                <w:lang w:val="lt-LT"/>
              </w:rPr>
              <w:t>02.02 uždavinys. Padidinti ikimokyklinio ugdymo paslaugų prieinamumą.</w:t>
            </w:r>
            <w:r w:rsidRPr="00B83A2B">
              <w:rPr>
                <w:lang w:val="lt-LT"/>
              </w:rPr>
              <w:t xml:space="preserve"> </w:t>
            </w:r>
          </w:p>
          <w:p w:rsidR="00AD40FD"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2014 m. rugsėjo 1 d. </w:t>
            </w:r>
            <w:r w:rsidR="00AD40FD" w:rsidRPr="00B83A2B">
              <w:rPr>
                <w:lang w:val="lt-LT"/>
              </w:rPr>
              <w:t xml:space="preserve">duomenimis, </w:t>
            </w:r>
            <w:r w:rsidRPr="00B83A2B">
              <w:rPr>
                <w:lang w:val="lt-LT"/>
              </w:rPr>
              <w:t xml:space="preserve">į ikimokyklinio ir priešmokyklinio ugdymo programas įgyvendinančias savivaldybės švietimo įstaigas nepateko 425 vaikai, </w:t>
            </w:r>
            <w:r w:rsidR="00AD40FD" w:rsidRPr="00B83A2B">
              <w:rPr>
                <w:lang w:val="lt-LT"/>
              </w:rPr>
              <w:t xml:space="preserve">todėl savivaldybė turi neatidėliotinai spręsti šią miestiečiams aktualią problemą. </w:t>
            </w:r>
          </w:p>
          <w:p w:rsidR="00AD40FD"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Planuojama dirbti keliomis kryptimis: </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AD40FD" w:rsidRPr="00B83A2B">
              <w:rPr>
                <w:lang w:val="lt-LT"/>
              </w:rPr>
              <w:t xml:space="preserve">1) išanalizuoti </w:t>
            </w:r>
            <w:r w:rsidRPr="00B83A2B">
              <w:rPr>
                <w:lang w:val="lt-LT"/>
              </w:rPr>
              <w:t>savivaldybės ikimokyklinio ugdymo krepšel</w:t>
            </w:r>
            <w:r w:rsidR="00AD40FD" w:rsidRPr="00B83A2B">
              <w:rPr>
                <w:lang w:val="lt-LT"/>
              </w:rPr>
              <w:t>io</w:t>
            </w:r>
            <w:r w:rsidRPr="00B83A2B">
              <w:rPr>
                <w:lang w:val="lt-LT"/>
              </w:rPr>
              <w:t>, kuris galėtų būti skiriamas vaikui, lankančiam nevalstybinę ikimokyklinę įstaigą</w:t>
            </w:r>
            <w:r w:rsidR="00AD40FD" w:rsidRPr="00B83A2B">
              <w:rPr>
                <w:lang w:val="lt-LT"/>
              </w:rPr>
              <w:t>, suformavimo galimybes ir</w:t>
            </w:r>
            <w:r w:rsidR="00C54B3A">
              <w:rPr>
                <w:lang w:val="lt-LT"/>
              </w:rPr>
              <w:t>,</w:t>
            </w:r>
            <w:r w:rsidR="00AD40FD" w:rsidRPr="00B83A2B">
              <w:rPr>
                <w:lang w:val="lt-LT"/>
              </w:rPr>
              <w:t xml:space="preserve"> esant pagrįstumui, jį suformuoti. </w:t>
            </w:r>
            <w:r w:rsidRPr="00B83A2B">
              <w:rPr>
                <w:lang w:val="lt-LT"/>
              </w:rPr>
              <w:t>Tuo būdu galėtų būti sudarytos galimybės plėstis esamoms 8 nevalstybinėms ikimokyklinio ar (ir) priešmokyklinio ugdymo programas įgyvendinančioms įstaigoms ar kurtis naujoms, kad būtų patenkintas gyventojų poreikis ugdyti vaikus institucijose, o ne namuose</w:t>
            </w:r>
            <w:r w:rsidR="00C54B3A">
              <w:rPr>
                <w:lang w:val="lt-LT"/>
              </w:rPr>
              <w:t>;</w:t>
            </w:r>
            <w:r w:rsidRPr="00B83A2B">
              <w:rPr>
                <w:lang w:val="lt-LT"/>
              </w:rPr>
              <w:t xml:space="preserve"> </w:t>
            </w:r>
          </w:p>
          <w:p w:rsidR="008A4046"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lastRenderedPageBreak/>
              <w:t xml:space="preserve">2) suformuoti papildomas vietas savivaldybės ikimokyklinio ugdymo įstaigose. </w:t>
            </w:r>
            <w:r w:rsidR="00F723AC" w:rsidRPr="00B83A2B">
              <w:rPr>
                <w:lang w:val="lt-LT"/>
              </w:rPr>
              <w:t>Vykstant tinklo pertvarkai ir mažinant klasių skaičių mokyklose-darželiuose, atsiranda galimybė pertvarkyti nebenaudojamas pradinio ugdymo klases į ikimokyklinio amžiaus vaikų grupes</w:t>
            </w:r>
            <w:r w:rsidRPr="00B83A2B">
              <w:rPr>
                <w:lang w:val="lt-LT"/>
              </w:rPr>
              <w:t>.</w:t>
            </w:r>
          </w:p>
          <w:p w:rsidR="0034261D"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02.03 uždavinys. Organizuoti materialinį, ūkinį ir techninį ugdymo įstaigų aptarnavimą</w:t>
            </w:r>
            <w:r w:rsidR="00C54B3A">
              <w:rPr>
                <w:b/>
                <w:lang w:val="lt-LT"/>
              </w:rPr>
              <w:t>.</w:t>
            </w:r>
          </w:p>
          <w:p w:rsidR="008A4046"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eastAsia="lt-LT"/>
              </w:rPr>
              <w:t xml:space="preserve">Užtikrinant kokybišką ugdymo procesą svarbu spręsti ir bendras ūkines įstaigų problemas, t. y. užtikrinti tikrinančių institucijų </w:t>
            </w:r>
            <w:r w:rsidRPr="00B83A2B">
              <w:rPr>
                <w:lang w:val="lt-LT"/>
              </w:rPr>
              <w:t xml:space="preserve">(Visuomenės sveikatos centro, Maisto ir veterinarijos tarnybos, Priešgaisrinės gelbėjimo tarnybos) reikalavimų vykdymą, </w:t>
            </w:r>
            <w:r w:rsidRPr="00B83A2B">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83A2B">
              <w:rPr>
                <w:lang w:val="lt-LT"/>
              </w:rPr>
              <w:t xml:space="preserve"> </w:t>
            </w:r>
          </w:p>
          <w:p w:rsidR="007E069A" w:rsidRPr="00B83A2B" w:rsidRDefault="008A4046" w:rsidP="0026794F">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Rūpinantis pastatų ir vaikų saugumu, būtina tęsti įstaigų teritorijų aptvėrimą – 2015 m. planuojamos lėšos lopšelio-darželio „</w:t>
            </w:r>
            <w:proofErr w:type="spellStart"/>
            <w:r w:rsidRPr="00B83A2B">
              <w:rPr>
                <w:lang w:val="lt-LT"/>
              </w:rPr>
              <w:t>Žemuogėlė</w:t>
            </w:r>
            <w:proofErr w:type="spellEnd"/>
            <w:r w:rsidRPr="00B83A2B">
              <w:rPr>
                <w:lang w:val="lt-LT"/>
              </w:rPr>
              <w:t xml:space="preserve">“ teritorijos aptvėrimui. Toliau bus organizuojamas savivaldybės mokinių ir neįgalių ikimokyklinio amžiaus vaikų pavėžėjimas. Vykdant Valstybinės maisto ir veterinarijos ir kitų įstaigas tikrinančių institucijų nurodymus, būtina įsigyti naujus įrenginius maisto gamybos blokuose lopšeliams-darželiams </w:t>
            </w:r>
            <w:r w:rsidR="00641DF6" w:rsidRPr="00B83A2B">
              <w:rPr>
                <w:bCs/>
                <w:lang w:val="lt-LT"/>
              </w:rPr>
              <w:t xml:space="preserve">„Berželis“, </w:t>
            </w:r>
            <w:r w:rsidRPr="00B83A2B">
              <w:rPr>
                <w:lang w:val="lt-LT"/>
              </w:rPr>
              <w:t>„Žuvėdra“, „</w:t>
            </w:r>
            <w:proofErr w:type="spellStart"/>
            <w:r w:rsidRPr="00B83A2B">
              <w:rPr>
                <w:lang w:val="lt-LT"/>
              </w:rPr>
              <w:t>Šermukšnėlė</w:t>
            </w:r>
            <w:proofErr w:type="spellEnd"/>
            <w:r w:rsidRPr="00B83A2B">
              <w:rPr>
                <w:lang w:val="lt-LT"/>
              </w:rPr>
              <w:t>“, „Ąžuoliukas, „Žiogelis“, „Atžalynas“, Regos ugdymo centrui, „Pakalnutės“, „</w:t>
            </w:r>
            <w:proofErr w:type="spellStart"/>
            <w:r w:rsidRPr="00B83A2B">
              <w:rPr>
                <w:lang w:val="lt-LT"/>
              </w:rPr>
              <w:t>Inkarėlio</w:t>
            </w:r>
            <w:proofErr w:type="spellEnd"/>
            <w:r w:rsidRPr="00B83A2B">
              <w:rPr>
                <w:lang w:val="lt-LT"/>
              </w:rPr>
              <w:t xml:space="preserve">“ mokykloms-darželiams. Vykdant savivaldybei priskirtą kompetenciją, mokiniams, atvykstantiems mokytis į savivaldybės mokyklas, būtų kompensuojamos transporto išlaidos. Įgyvendinus šią priemonę, bus užtikrintas apie </w:t>
            </w:r>
            <w:r w:rsidR="0026794F">
              <w:rPr>
                <w:lang w:val="lt-LT"/>
              </w:rPr>
              <w:t>320 mokinių pavėžėjimas</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3730BE" w:rsidRPr="00B83A2B" w:rsidRDefault="003730BE" w:rsidP="00922CDB">
            <w:pPr>
              <w:pStyle w:val="Pagrindinistekstas"/>
              <w:pBdr>
                <w:top w:val="single" w:sz="4" w:space="1" w:color="auto"/>
                <w:left w:val="single" w:sz="4" w:space="4" w:color="auto"/>
                <w:bottom w:val="single" w:sz="4" w:space="1" w:color="auto"/>
                <w:right w:val="single" w:sz="4" w:space="4" w:color="auto"/>
              </w:pBdr>
              <w:jc w:val="center"/>
              <w:rPr>
                <w:b/>
                <w:lang w:val="lt-LT"/>
              </w:rPr>
            </w:pPr>
            <w:r w:rsidRPr="00B83A2B">
              <w:rPr>
                <w:b/>
                <w:lang w:val="lt-LT"/>
              </w:rPr>
              <w:lastRenderedPageBreak/>
              <w:t xml:space="preserve">02 </w:t>
            </w:r>
            <w:r w:rsidR="00C75548" w:rsidRPr="00B83A2B">
              <w:rPr>
                <w:b/>
                <w:bCs/>
                <w:lang w:val="lt-LT"/>
              </w:rPr>
              <w:t>tikslo rezultato vertinimo kriterijai</w:t>
            </w:r>
          </w:p>
        </w:tc>
      </w:tr>
      <w:tr w:rsidR="00F833B1" w:rsidRPr="00B83A2B" w:rsidTr="00557331">
        <w:trPr>
          <w:gridBefore w:val="1"/>
          <w:gridAfter w:val="1"/>
          <w:wBefore w:w="32" w:type="dxa"/>
          <w:wAfter w:w="11" w:type="dxa"/>
          <w:trHeight w:val="450"/>
        </w:trPr>
        <w:tc>
          <w:tcPr>
            <w:tcW w:w="3512" w:type="dxa"/>
            <w:gridSpan w:val="3"/>
            <w:vMerge w:val="restart"/>
            <w:vAlign w:val="center"/>
          </w:tcPr>
          <w:p w:rsidR="00557331" w:rsidRPr="00B83A2B" w:rsidRDefault="00880719" w:rsidP="00922CDB">
            <w:pPr>
              <w:pStyle w:val="Pagrindinistekstas"/>
              <w:jc w:val="center"/>
              <w:rPr>
                <w:bCs/>
                <w:lang w:val="lt-LT"/>
              </w:rPr>
            </w:pPr>
            <w:r w:rsidRPr="00B83A2B">
              <w:rPr>
                <w:bCs/>
                <w:lang w:val="lt-LT"/>
              </w:rPr>
              <w:t>Kriterijaus</w:t>
            </w:r>
            <w:r w:rsidR="003730BE" w:rsidRPr="00B83A2B">
              <w:rPr>
                <w:bCs/>
                <w:lang w:val="lt-LT"/>
              </w:rPr>
              <w:t xml:space="preserve"> pavadinimas, </w:t>
            </w:r>
          </w:p>
          <w:p w:rsidR="003730BE" w:rsidRPr="00B83A2B" w:rsidRDefault="003730BE" w:rsidP="00922CDB">
            <w:pPr>
              <w:pStyle w:val="Pagrindinistekstas"/>
              <w:jc w:val="center"/>
              <w:rPr>
                <w:lang w:val="lt-LT"/>
              </w:rPr>
            </w:pPr>
            <w:r w:rsidRPr="00B83A2B">
              <w:rPr>
                <w:bCs/>
                <w:lang w:val="lt-LT"/>
              </w:rPr>
              <w:t>mato vnt.</w:t>
            </w:r>
          </w:p>
        </w:tc>
        <w:tc>
          <w:tcPr>
            <w:tcW w:w="2835" w:type="dxa"/>
            <w:gridSpan w:val="3"/>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476" w:type="dxa"/>
            <w:gridSpan w:val="11"/>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871A96">
        <w:trPr>
          <w:gridBefore w:val="1"/>
          <w:gridAfter w:val="1"/>
          <w:wBefore w:w="32" w:type="dxa"/>
          <w:wAfter w:w="11" w:type="dxa"/>
          <w:trHeight w:val="450"/>
        </w:trPr>
        <w:tc>
          <w:tcPr>
            <w:tcW w:w="3512" w:type="dxa"/>
            <w:gridSpan w:val="3"/>
            <w:vMerge/>
          </w:tcPr>
          <w:p w:rsidR="003730BE" w:rsidRPr="00B83A2B" w:rsidRDefault="003730BE" w:rsidP="00922CDB">
            <w:pPr>
              <w:pStyle w:val="Pagrindinistekstas"/>
              <w:rPr>
                <w:lang w:val="lt-LT"/>
              </w:rPr>
            </w:pPr>
          </w:p>
        </w:tc>
        <w:tc>
          <w:tcPr>
            <w:tcW w:w="2835" w:type="dxa"/>
            <w:gridSpan w:val="3"/>
            <w:vMerge/>
          </w:tcPr>
          <w:p w:rsidR="003730BE" w:rsidRPr="00B83A2B" w:rsidRDefault="003730BE" w:rsidP="00922CDB">
            <w:pPr>
              <w:pStyle w:val="Pagrindinistekstas"/>
              <w:rPr>
                <w:lang w:val="lt-LT"/>
              </w:rPr>
            </w:pPr>
          </w:p>
        </w:tc>
        <w:tc>
          <w:tcPr>
            <w:tcW w:w="993" w:type="dxa"/>
            <w:gridSpan w:val="2"/>
          </w:tcPr>
          <w:p w:rsidR="003730BE" w:rsidRPr="00B83A2B" w:rsidRDefault="003730BE" w:rsidP="00871A96">
            <w:pPr>
              <w:ind w:left="80"/>
              <w:jc w:val="center"/>
              <w:rPr>
                <w:bCs/>
              </w:rPr>
            </w:pPr>
            <w:r w:rsidRPr="00B83A2B">
              <w:rPr>
                <w:bCs/>
              </w:rPr>
              <w:t>201</w:t>
            </w:r>
            <w:r w:rsidR="00871A96" w:rsidRPr="00B83A2B">
              <w:rPr>
                <w:bCs/>
              </w:rPr>
              <w:t>4</w:t>
            </w:r>
            <w:r w:rsidRPr="00B83A2B">
              <w:rPr>
                <w:bCs/>
              </w:rPr>
              <w:t xml:space="preserve"> </w:t>
            </w:r>
            <w:r w:rsidR="00BB7C08" w:rsidRPr="00B83A2B">
              <w:rPr>
                <w:bCs/>
                <w:sz w:val="20"/>
                <w:szCs w:val="20"/>
              </w:rPr>
              <w:t>(</w:t>
            </w:r>
            <w:r w:rsidRPr="00B83A2B">
              <w:rPr>
                <w:bCs/>
                <w:sz w:val="20"/>
                <w:szCs w:val="20"/>
              </w:rPr>
              <w:t>faktas</w:t>
            </w:r>
            <w:r w:rsidR="00BB7C08" w:rsidRPr="00B83A2B">
              <w:rPr>
                <w:bCs/>
                <w:sz w:val="20"/>
                <w:szCs w:val="20"/>
              </w:rPr>
              <w:t>)</w:t>
            </w:r>
          </w:p>
        </w:tc>
        <w:tc>
          <w:tcPr>
            <w:tcW w:w="850" w:type="dxa"/>
            <w:gridSpan w:val="4"/>
          </w:tcPr>
          <w:p w:rsidR="003730BE" w:rsidRPr="00B83A2B" w:rsidRDefault="003730BE" w:rsidP="00922CDB">
            <w:pPr>
              <w:ind w:left="80"/>
              <w:jc w:val="center"/>
              <w:rPr>
                <w:bCs/>
              </w:rPr>
            </w:pPr>
            <w:r w:rsidRPr="00B83A2B">
              <w:rPr>
                <w:bCs/>
              </w:rPr>
              <w:t>201</w:t>
            </w:r>
            <w:r w:rsidR="00871A96" w:rsidRPr="00B83A2B">
              <w:rPr>
                <w:bCs/>
              </w:rPr>
              <w:t>5</w:t>
            </w:r>
          </w:p>
        </w:tc>
        <w:tc>
          <w:tcPr>
            <w:tcW w:w="851" w:type="dxa"/>
          </w:tcPr>
          <w:p w:rsidR="003730BE" w:rsidRPr="00B83A2B" w:rsidRDefault="003730BE" w:rsidP="00871A96">
            <w:pPr>
              <w:ind w:left="80"/>
              <w:jc w:val="center"/>
              <w:rPr>
                <w:bCs/>
              </w:rPr>
            </w:pPr>
            <w:r w:rsidRPr="00B83A2B">
              <w:rPr>
                <w:bCs/>
              </w:rPr>
              <w:t>201</w:t>
            </w:r>
            <w:r w:rsidR="00871A96" w:rsidRPr="00B83A2B">
              <w:rPr>
                <w:bCs/>
              </w:rPr>
              <w:t>6</w:t>
            </w:r>
          </w:p>
        </w:tc>
        <w:tc>
          <w:tcPr>
            <w:tcW w:w="782" w:type="dxa"/>
            <w:gridSpan w:val="4"/>
          </w:tcPr>
          <w:p w:rsidR="003730BE" w:rsidRPr="00B83A2B" w:rsidRDefault="003730BE" w:rsidP="00871A96">
            <w:pPr>
              <w:ind w:left="80"/>
              <w:jc w:val="center"/>
              <w:rPr>
                <w:bCs/>
              </w:rPr>
            </w:pPr>
            <w:r w:rsidRPr="00B83A2B">
              <w:rPr>
                <w:bCs/>
              </w:rPr>
              <w:t>201</w:t>
            </w:r>
            <w:r w:rsidR="00871A96" w:rsidRPr="00B83A2B">
              <w:rPr>
                <w:bCs/>
              </w:rPr>
              <w:t>7</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kuriose naujai pritaikytos patalpos ugdymo reikmėms,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Ugdymo ir kultūros departamento Švietimo skyrius</w:t>
            </w:r>
          </w:p>
        </w:tc>
        <w:tc>
          <w:tcPr>
            <w:tcW w:w="993" w:type="dxa"/>
            <w:gridSpan w:val="2"/>
          </w:tcPr>
          <w:p w:rsidR="00871A96" w:rsidRPr="00B83A2B" w:rsidRDefault="00871A96" w:rsidP="009A79DF">
            <w:pPr>
              <w:ind w:left="80"/>
              <w:jc w:val="center"/>
              <w:rPr>
                <w:bCs/>
              </w:rPr>
            </w:pPr>
            <w:r w:rsidRPr="00B83A2B">
              <w:rPr>
                <w:bCs/>
              </w:rPr>
              <w:t>6</w:t>
            </w:r>
          </w:p>
        </w:tc>
        <w:tc>
          <w:tcPr>
            <w:tcW w:w="850" w:type="dxa"/>
            <w:gridSpan w:val="4"/>
          </w:tcPr>
          <w:p w:rsidR="00871A96" w:rsidRPr="00B83A2B" w:rsidRDefault="00871A96" w:rsidP="009A79DF">
            <w:pPr>
              <w:ind w:left="80"/>
              <w:jc w:val="center"/>
              <w:rPr>
                <w:bCs/>
              </w:rPr>
            </w:pPr>
            <w:r w:rsidRPr="00B83A2B">
              <w:rPr>
                <w:bCs/>
              </w:rPr>
              <w:t>7</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5</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kurių teritorijos aptvertos,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2</w:t>
            </w:r>
          </w:p>
        </w:tc>
        <w:tc>
          <w:tcPr>
            <w:tcW w:w="850" w:type="dxa"/>
            <w:gridSpan w:val="4"/>
          </w:tcPr>
          <w:p w:rsidR="00871A96" w:rsidRPr="00B83A2B" w:rsidRDefault="00871A96" w:rsidP="009A79DF">
            <w:pPr>
              <w:ind w:left="80"/>
              <w:jc w:val="center"/>
              <w:rPr>
                <w:bCs/>
              </w:rPr>
            </w:pPr>
            <w:r w:rsidRPr="00B83A2B">
              <w:rPr>
                <w:bCs/>
              </w:rPr>
              <w:t>1</w:t>
            </w:r>
          </w:p>
        </w:tc>
        <w:tc>
          <w:tcPr>
            <w:tcW w:w="851" w:type="dxa"/>
          </w:tcPr>
          <w:p w:rsidR="00871A96" w:rsidRPr="00B83A2B" w:rsidRDefault="00871A96" w:rsidP="009A79DF">
            <w:pPr>
              <w:ind w:left="80"/>
              <w:jc w:val="center"/>
              <w:rPr>
                <w:bCs/>
              </w:rPr>
            </w:pPr>
            <w:r w:rsidRPr="00B83A2B">
              <w:rPr>
                <w:bCs/>
              </w:rPr>
              <w:t>4</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Įsigytų vaikiškų lovyčių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320</w:t>
            </w:r>
          </w:p>
        </w:tc>
        <w:tc>
          <w:tcPr>
            <w:tcW w:w="850" w:type="dxa"/>
            <w:gridSpan w:val="4"/>
          </w:tcPr>
          <w:p w:rsidR="00871A96" w:rsidRPr="00B83A2B" w:rsidRDefault="00871A96" w:rsidP="009A79DF">
            <w:pPr>
              <w:ind w:left="80"/>
              <w:jc w:val="center"/>
              <w:rPr>
                <w:bCs/>
              </w:rPr>
            </w:pPr>
            <w:r w:rsidRPr="00B83A2B">
              <w:rPr>
                <w:bCs/>
              </w:rPr>
              <w:t>320</w:t>
            </w:r>
          </w:p>
        </w:tc>
        <w:tc>
          <w:tcPr>
            <w:tcW w:w="851" w:type="dxa"/>
          </w:tcPr>
          <w:p w:rsidR="00871A96" w:rsidRPr="00B83A2B" w:rsidRDefault="00871A96" w:rsidP="009A79DF">
            <w:pPr>
              <w:ind w:left="80"/>
              <w:jc w:val="center"/>
              <w:rPr>
                <w:bCs/>
              </w:rPr>
            </w:pPr>
            <w:r w:rsidRPr="00B83A2B">
              <w:rPr>
                <w:bCs/>
              </w:rPr>
              <w:t>320</w:t>
            </w:r>
          </w:p>
        </w:tc>
        <w:tc>
          <w:tcPr>
            <w:tcW w:w="782" w:type="dxa"/>
            <w:gridSpan w:val="4"/>
          </w:tcPr>
          <w:p w:rsidR="00871A96" w:rsidRPr="00B83A2B" w:rsidRDefault="00871A96" w:rsidP="009A79DF">
            <w:pPr>
              <w:ind w:left="80"/>
              <w:jc w:val="center"/>
              <w:rPr>
                <w:bCs/>
              </w:rPr>
            </w:pPr>
            <w:r w:rsidRPr="00B83A2B">
              <w:rPr>
                <w:bCs/>
              </w:rPr>
              <w:t>320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Atnaujintų virtuvių technologinių įrengimų skaičius (vnt.)</w:t>
            </w:r>
          </w:p>
        </w:tc>
        <w:tc>
          <w:tcPr>
            <w:tcW w:w="2835" w:type="dxa"/>
            <w:gridSpan w:val="3"/>
          </w:tcPr>
          <w:p w:rsidR="00871A96" w:rsidRPr="00B83A2B" w:rsidRDefault="00871A96" w:rsidP="009A79DF">
            <w:pPr>
              <w:ind w:left="80"/>
              <w:jc w:val="center"/>
              <w:rPr>
                <w:bCs/>
              </w:rPr>
            </w:pPr>
            <w:r w:rsidRPr="00B83A2B">
              <w:t>Švietimo skyrius</w:t>
            </w:r>
          </w:p>
        </w:tc>
        <w:tc>
          <w:tcPr>
            <w:tcW w:w="993" w:type="dxa"/>
            <w:gridSpan w:val="2"/>
          </w:tcPr>
          <w:p w:rsidR="00871A96" w:rsidRPr="00B83A2B" w:rsidRDefault="00871A96" w:rsidP="009A79DF">
            <w:pPr>
              <w:ind w:left="80"/>
              <w:jc w:val="center"/>
              <w:rPr>
                <w:bCs/>
              </w:rPr>
            </w:pPr>
            <w:r w:rsidRPr="00B83A2B">
              <w:rPr>
                <w:bCs/>
              </w:rPr>
              <w:t>15</w:t>
            </w:r>
          </w:p>
        </w:tc>
        <w:tc>
          <w:tcPr>
            <w:tcW w:w="850" w:type="dxa"/>
            <w:gridSpan w:val="4"/>
          </w:tcPr>
          <w:p w:rsidR="00871A96" w:rsidRPr="00B83A2B" w:rsidRDefault="00871A96" w:rsidP="009A79DF">
            <w:pPr>
              <w:ind w:left="80"/>
              <w:jc w:val="center"/>
              <w:rPr>
                <w:bCs/>
              </w:rPr>
            </w:pPr>
            <w:r w:rsidRPr="00B83A2B">
              <w:rPr>
                <w:bCs/>
              </w:rPr>
              <w:t>9</w:t>
            </w:r>
          </w:p>
        </w:tc>
        <w:tc>
          <w:tcPr>
            <w:tcW w:w="851" w:type="dxa"/>
          </w:tcPr>
          <w:p w:rsidR="00871A96" w:rsidRPr="00B83A2B" w:rsidRDefault="00871A96" w:rsidP="009A79DF">
            <w:pPr>
              <w:ind w:left="80"/>
              <w:jc w:val="center"/>
              <w:rPr>
                <w:bCs/>
              </w:rPr>
            </w:pPr>
            <w:r w:rsidRPr="00B83A2B">
              <w:rPr>
                <w:bCs/>
              </w:rPr>
              <w:t>10</w:t>
            </w:r>
          </w:p>
        </w:tc>
        <w:tc>
          <w:tcPr>
            <w:tcW w:w="782" w:type="dxa"/>
            <w:gridSpan w:val="4"/>
          </w:tcPr>
          <w:p w:rsidR="00871A96" w:rsidRPr="00B83A2B" w:rsidRDefault="00871A96" w:rsidP="00922CDB">
            <w:pPr>
              <w:ind w:left="80"/>
              <w:jc w:val="center"/>
              <w:rPr>
                <w:bCs/>
              </w:rPr>
            </w:pPr>
            <w:r w:rsidRPr="00B83A2B">
              <w:rPr>
                <w:bCs/>
              </w:rPr>
              <w:t>10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Įstaigų, prijungtų prie LITNET sistemos, skaičius (vnt.)</w:t>
            </w:r>
          </w:p>
        </w:tc>
        <w:tc>
          <w:tcPr>
            <w:tcW w:w="2835" w:type="dxa"/>
            <w:gridSpan w:val="3"/>
          </w:tcPr>
          <w:p w:rsidR="00871A96" w:rsidRPr="00B83A2B" w:rsidRDefault="00871A96" w:rsidP="009A79DF">
            <w:pPr>
              <w:ind w:left="80"/>
              <w:jc w:val="center"/>
            </w:pPr>
            <w:r w:rsidRPr="00B83A2B">
              <w:t>Švietimo skyrius</w:t>
            </w:r>
          </w:p>
        </w:tc>
        <w:tc>
          <w:tcPr>
            <w:tcW w:w="993" w:type="dxa"/>
            <w:gridSpan w:val="2"/>
          </w:tcPr>
          <w:p w:rsidR="00871A96" w:rsidRPr="00B83A2B" w:rsidRDefault="00871A96" w:rsidP="009A79DF">
            <w:pPr>
              <w:ind w:left="80"/>
              <w:jc w:val="center"/>
              <w:rPr>
                <w:bCs/>
              </w:rPr>
            </w:pPr>
            <w:r w:rsidRPr="00B83A2B">
              <w:rPr>
                <w:bCs/>
              </w:rPr>
              <w:t>1</w:t>
            </w:r>
          </w:p>
        </w:tc>
        <w:tc>
          <w:tcPr>
            <w:tcW w:w="850" w:type="dxa"/>
            <w:gridSpan w:val="4"/>
          </w:tcPr>
          <w:p w:rsidR="00871A96" w:rsidRPr="00B83A2B" w:rsidRDefault="00871A96" w:rsidP="009A79DF">
            <w:pPr>
              <w:ind w:left="80"/>
              <w:jc w:val="center"/>
              <w:rPr>
                <w:bCs/>
              </w:rPr>
            </w:pPr>
            <w:r w:rsidRPr="00B83A2B">
              <w:rPr>
                <w:bCs/>
              </w:rPr>
              <w:t>6</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871A96" w:rsidRPr="00B83A2B" w:rsidRDefault="00871A96" w:rsidP="00E15664">
            <w:pPr>
              <w:ind w:firstLine="568"/>
              <w:rPr>
                <w:b/>
              </w:rPr>
            </w:pPr>
            <w:r w:rsidRPr="00B83A2B">
              <w:rPr>
                <w:b/>
              </w:rPr>
              <w:t>Numatomas programos įgyvendinimo rezultatas:</w:t>
            </w:r>
          </w:p>
          <w:p w:rsidR="00871A96" w:rsidRPr="00B83A2B" w:rsidRDefault="00871A96" w:rsidP="00E15664">
            <w:pPr>
              <w:ind w:firstLine="568"/>
              <w:jc w:val="both"/>
              <w:rPr>
                <w:bCs/>
                <w:noProof/>
              </w:rPr>
            </w:pPr>
            <w:r w:rsidRPr="00B83A2B">
              <w:rPr>
                <w:bCs/>
                <w:noProof/>
              </w:rPr>
              <w:t xml:space="preserve">Suteikiama galimybė rinktis ir vykdyti ugdymą bei mokymą naudojant </w:t>
            </w:r>
            <w:r w:rsidRPr="00B83A2B">
              <w:t>Bendrąsias programas pradinėse, pagrindinėse, vidurinėse, suaugusiųjų mokyklose ir gimnazijose, vykdyti neformaliojo ugdymo programas, teikti pagalbą tarnybose.</w:t>
            </w:r>
          </w:p>
          <w:p w:rsidR="00871A96" w:rsidRPr="00B83A2B" w:rsidRDefault="00871A96" w:rsidP="00E15664">
            <w:pPr>
              <w:ind w:firstLine="568"/>
              <w:jc w:val="both"/>
            </w:pPr>
            <w:r w:rsidRPr="00B83A2B">
              <w:rPr>
                <w:bCs/>
                <w:noProof/>
              </w:rPr>
              <w:t xml:space="preserve">Pajamos, gautos už teikiamas paslaugas, leis pagerinti vaikų ir jaunimo ugdymo bei kitas veiklos sąlygas, mokymasis vyks turtingesnėje ir įvairesnėje aplinkoje. </w:t>
            </w:r>
            <w:r w:rsidRPr="00B83A2B">
              <w:rPr>
                <w:lang w:eastAsia="lt-LT"/>
              </w:rPr>
              <w:t xml:space="preserve">Pagerės mokymosi aplinka, bus </w:t>
            </w:r>
            <w:r w:rsidRPr="00B83A2B">
              <w:t>atnaujintos švietimo įstaigų patalpos ir ugdymo bazės pagal nustatytus reikalavimus.</w:t>
            </w:r>
          </w:p>
          <w:p w:rsidR="00871A96" w:rsidRPr="00B83A2B" w:rsidRDefault="00871A96" w:rsidP="00E15664">
            <w:pPr>
              <w:ind w:firstLine="568"/>
              <w:jc w:val="both"/>
            </w:pPr>
            <w:r w:rsidRPr="00B83A2B">
              <w:rPr>
                <w:lang w:eastAsia="lt-LT"/>
              </w:rPr>
              <w:t xml:space="preserve">Pagerės mokymosi aplinka, bus </w:t>
            </w:r>
            <w:r w:rsidRPr="00B83A2B">
              <w:t>atnaujinti švietimo įstaigų pastatai ir ugdymo bazės pagal pastatų renovacijos programas ir normatyvus</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bCs/>
                <w:lang w:val="lt-LT"/>
              </w:rPr>
            </w:pPr>
            <w:r w:rsidRPr="00B83A2B">
              <w:rPr>
                <w:b/>
                <w:bCs/>
                <w:lang w:val="lt-LT"/>
              </w:rPr>
              <w:t xml:space="preserve">Galimi programos finansavimo variantai: </w:t>
            </w:r>
          </w:p>
          <w:p w:rsidR="00871A96" w:rsidRPr="00B83A2B" w:rsidRDefault="00871A96" w:rsidP="00E15664">
            <w:pPr>
              <w:ind w:firstLine="568"/>
              <w:jc w:val="both"/>
            </w:pPr>
            <w:r w:rsidRPr="00B83A2B">
              <w:t>Valstybės, savivaldybės biudžeto, Savivaldybės privatizavimo fondo, rėmėjų, ES lėšos ir įvairių fondų lėšos</w:t>
            </w:r>
          </w:p>
        </w:tc>
      </w:tr>
      <w:tr w:rsidR="00F833B1" w:rsidRPr="00B83A2B" w:rsidTr="00F42437">
        <w:trPr>
          <w:gridBefore w:val="1"/>
          <w:wBefore w:w="32" w:type="dxa"/>
        </w:trPr>
        <w:tc>
          <w:tcPr>
            <w:tcW w:w="9834" w:type="dxa"/>
            <w:gridSpan w:val="18"/>
          </w:tcPr>
          <w:p w:rsidR="00871A96" w:rsidRPr="00B83A2B" w:rsidRDefault="00871A96" w:rsidP="00E15664">
            <w:pPr>
              <w:ind w:firstLine="568"/>
              <w:jc w:val="both"/>
              <w:rPr>
                <w:b/>
                <w:bCs/>
              </w:rPr>
            </w:pPr>
            <w:r w:rsidRPr="00B83A2B">
              <w:rPr>
                <w:b/>
              </w:rPr>
              <w:t xml:space="preserve">Klaipėdos miesto </w:t>
            </w:r>
            <w:r w:rsidR="0085143B">
              <w:rPr>
                <w:b/>
              </w:rPr>
              <w:t xml:space="preserve">savivaldybės </w:t>
            </w:r>
            <w:r w:rsidRPr="00B83A2B">
              <w:rPr>
                <w:b/>
              </w:rPr>
              <w:t xml:space="preserve">2013–2020 metų strateginio plėtros plano dalys, </w:t>
            </w:r>
            <w:r w:rsidRPr="00B83A2B">
              <w:rPr>
                <w:b/>
              </w:rPr>
              <w:lastRenderedPageBreak/>
              <w:t>susijusios su vykdoma programa:</w:t>
            </w:r>
          </w:p>
          <w:p w:rsidR="00871A96" w:rsidRPr="00B83A2B" w:rsidRDefault="00871A96" w:rsidP="00E15664">
            <w:pPr>
              <w:ind w:firstLine="568"/>
              <w:jc w:val="both"/>
              <w:rPr>
                <w:rFonts w:eastAsia="SimSun"/>
                <w:lang w:eastAsia="lt-LT"/>
              </w:rPr>
            </w:pPr>
            <w:r w:rsidRPr="00B83A2B">
              <w:rPr>
                <w:rFonts w:eastAsia="SimSun"/>
                <w:caps/>
              </w:rPr>
              <w:t xml:space="preserve">1.4.1 </w:t>
            </w:r>
            <w:r w:rsidRPr="00B83A2B">
              <w:rPr>
                <w:rFonts w:eastAsia="SimSun"/>
              </w:rPr>
              <w:t>uždavinys</w:t>
            </w:r>
            <w:r w:rsidRPr="00B83A2B">
              <w:rPr>
                <w:rFonts w:eastAsia="SimSun"/>
                <w:caps/>
              </w:rPr>
              <w:t xml:space="preserve">. </w:t>
            </w:r>
            <w:r w:rsidRPr="00B83A2B">
              <w:t>Sudaryti galimybes kiekvienam klaipėdiečiui tapti išsilavinusia, pilietiška, atsakinga ir kūrybinga asmenybe.</w:t>
            </w:r>
          </w:p>
          <w:p w:rsidR="00871A96" w:rsidRPr="00B83A2B" w:rsidRDefault="00871A96" w:rsidP="00E15664">
            <w:pPr>
              <w:ind w:firstLine="568"/>
              <w:jc w:val="both"/>
              <w:rPr>
                <w:rFonts w:eastAsia="SimSun"/>
                <w:lang w:eastAsia="lt-LT"/>
              </w:rPr>
            </w:pPr>
            <w:r w:rsidRPr="00B83A2B">
              <w:rPr>
                <w:rFonts w:eastAsia="SimSun"/>
                <w:caps/>
              </w:rPr>
              <w:t xml:space="preserve">1.4.2 </w:t>
            </w:r>
            <w:r w:rsidRPr="00B83A2B">
              <w:rPr>
                <w:rFonts w:eastAsia="SimSun"/>
              </w:rPr>
              <w:t>uždavinys</w:t>
            </w:r>
            <w:r w:rsidRPr="00B83A2B">
              <w:rPr>
                <w:rFonts w:eastAsia="SimSun"/>
                <w:caps/>
              </w:rPr>
              <w:t xml:space="preserve">. </w:t>
            </w:r>
            <w:r w:rsidRPr="00B83A2B">
              <w:rPr>
                <w:rFonts w:eastAsia="SimSun"/>
                <w:lang w:eastAsia="lt-LT"/>
              </w:rPr>
              <w:t>Plėtoti mokymosi visą gyvenimą galimybes.</w:t>
            </w:r>
          </w:p>
          <w:p w:rsidR="00871A96" w:rsidRPr="00B83A2B" w:rsidRDefault="00871A96" w:rsidP="00E15664">
            <w:pPr>
              <w:ind w:firstLine="568"/>
              <w:jc w:val="both"/>
              <w:rPr>
                <w:b/>
              </w:rPr>
            </w:pPr>
            <w:r w:rsidRPr="00B83A2B">
              <w:rPr>
                <w:rFonts w:eastAsia="SimSun"/>
                <w:caps/>
              </w:rPr>
              <w:t xml:space="preserve">1.4.3 </w:t>
            </w:r>
            <w:r w:rsidRPr="00B83A2B">
              <w:rPr>
                <w:rFonts w:eastAsia="SimSun"/>
              </w:rPr>
              <w:t>uždavinys</w:t>
            </w:r>
            <w:r w:rsidRPr="00B83A2B">
              <w:rPr>
                <w:rFonts w:eastAsia="SimSun"/>
                <w:caps/>
              </w:rPr>
              <w:t xml:space="preserve">. </w:t>
            </w:r>
            <w:r w:rsidRPr="00B83A2B">
              <w:t>Užtikrinti saugias, šiuolaikiškas ugdymosi sąlygas ir racionalų švietimo infrastruktūros panaudojimą</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lang w:val="lt-LT"/>
              </w:rPr>
            </w:pPr>
            <w:r w:rsidRPr="00B83A2B">
              <w:rPr>
                <w:b/>
                <w:lang w:val="lt-LT"/>
              </w:rPr>
              <w:lastRenderedPageBreak/>
              <w:t xml:space="preserve">Susiję Lietuvos Respublikos ir savivaldybės teisės aktai: </w:t>
            </w:r>
          </w:p>
          <w:p w:rsidR="00871A96" w:rsidRPr="00B83A2B" w:rsidRDefault="00871A96" w:rsidP="00FC6130">
            <w:pPr>
              <w:pStyle w:val="HTMLiankstoformatuotas"/>
              <w:ind w:firstLine="568"/>
              <w:jc w:val="both"/>
              <w:rPr>
                <w:rFonts w:ascii="Times New Roman" w:hAnsi="Times New Roman"/>
                <w:b/>
                <w:bCs/>
                <w:sz w:val="24"/>
                <w:szCs w:val="24"/>
              </w:rPr>
            </w:pPr>
            <w:r w:rsidRPr="00B83A2B">
              <w:rPr>
                <w:rFonts w:ascii="Times New Roman" w:hAnsi="Times New Roman"/>
                <w:sz w:val="24"/>
                <w:szCs w:val="24"/>
              </w:rPr>
              <w:t xml:space="preserve">Lietuvos Respublikos švietimo įstatymas, Lietuvos Respublikos vietos savivaldos įstatymas, </w:t>
            </w:r>
            <w:r w:rsidRPr="00B83A2B">
              <w:rPr>
                <w:rFonts w:ascii="Times New Roman" w:hAnsi="Times New Roman"/>
                <w:b/>
                <w:sz w:val="24"/>
                <w:szCs w:val="24"/>
              </w:rPr>
              <w:t xml:space="preserve"> </w:t>
            </w:r>
            <w:r w:rsidRPr="00B83A2B">
              <w:rPr>
                <w:rFonts w:ascii="Times New Roman" w:hAnsi="Times New Roman"/>
                <w:sz w:val="24"/>
                <w:szCs w:val="24"/>
              </w:rPr>
              <w:t xml:space="preserve"> Lietuvos Respublikos biudžetinių įstaigų įstatymas, Lietuvos Respublikos neformaliojo suaugusiųjų švietimo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83A2B">
              <w:rPr>
                <w:rFonts w:ascii="Times New Roman" w:hAnsi="Times New Roman"/>
                <w:bCs/>
                <w:sz w:val="24"/>
                <w:szCs w:val="24"/>
              </w:rPr>
              <w:t>2011 m.  lapkričio 24 d. sprendimas Nr. T2-350 „</w:t>
            </w:r>
            <w:r w:rsidRPr="00B83A2B">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83A2B">
              <w:rPr>
                <w:rFonts w:ascii="Times New Roman" w:hAnsi="Times New Roman"/>
                <w:b/>
                <w:sz w:val="24"/>
                <w:szCs w:val="24"/>
              </w:rPr>
              <w:t xml:space="preserve"> </w:t>
            </w:r>
            <w:r w:rsidRPr="00B83A2B">
              <w:rPr>
                <w:rFonts w:ascii="Times New Roman" w:hAnsi="Times New Roman"/>
                <w:sz w:val="24"/>
                <w:szCs w:val="24"/>
              </w:rPr>
              <w:t>K</w:t>
            </w:r>
            <w:r w:rsidRPr="00B83A2B">
              <w:rPr>
                <w:rStyle w:val="Grietas"/>
                <w:b w:val="0"/>
                <w:bCs/>
                <w:sz w:val="24"/>
                <w:szCs w:val="24"/>
              </w:rPr>
              <w:t>laipėdos miesto savivaldybės 2013–2020 strateginio plėtros plano patvirtinimo“</w:t>
            </w:r>
          </w:p>
        </w:tc>
      </w:tr>
    </w:tbl>
    <w:p w:rsidR="003730BE" w:rsidRPr="00B83A2B" w:rsidRDefault="003730BE" w:rsidP="003730BE">
      <w:pPr>
        <w:jc w:val="center"/>
      </w:pPr>
    </w:p>
    <w:p w:rsidR="003730BE" w:rsidRPr="00B83A2B" w:rsidRDefault="003730BE" w:rsidP="003730BE">
      <w:pPr>
        <w:jc w:val="center"/>
      </w:pPr>
      <w:r w:rsidRPr="00B83A2B">
        <w:t>______________________</w:t>
      </w:r>
    </w:p>
    <w:p w:rsidR="003730BE" w:rsidRPr="00B83A2B" w:rsidRDefault="003730BE" w:rsidP="0006079E">
      <w:pPr>
        <w:jc w:val="center"/>
      </w:pPr>
    </w:p>
    <w:sectPr w:rsidR="003730BE" w:rsidRPr="00B83A2B" w:rsidSect="008D65E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F8" w:rsidRDefault="002324F8" w:rsidP="008D65E8">
      <w:r>
        <w:separator/>
      </w:r>
    </w:p>
  </w:endnote>
  <w:endnote w:type="continuationSeparator" w:id="0">
    <w:p w:rsidR="002324F8" w:rsidRDefault="002324F8" w:rsidP="008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2324F8" w:rsidRDefault="002324F8" w:rsidP="008D65E8">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2324F8" w:rsidRDefault="002324F8" w:rsidP="008D65E8">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303582"/>
      <w:docPartObj>
        <w:docPartGallery w:val="Page Numbers (Top of Page)"/>
        <w:docPartUnique/>
      </w:docPartObj>
    </w:sdtPr>
    <w:sdtEndPr/>
    <w:sdtContent>
      <w:p w:rsidR="008D65E8" w:rsidRDefault="008D65E8">
        <w:pPr>
          <w:pStyle w:val="Antrats"/>
          <w:jc w:val="center"/>
        </w:pPr>
        <w:r>
          <w:fldChar w:fldCharType="begin"/>
        </w:r>
        <w:r>
          <w:instrText>PAGE   \* MERGEFORMAT</w:instrText>
        </w:r>
        <w:r>
          <w:fldChar w:fldCharType="separate"/>
        </w:r>
        <w:r w:rsidR="00633901">
          <w:rPr>
            <w:noProof/>
          </w:rPr>
          <w:t>7</w:t>
        </w:r>
        <w:r>
          <w:fldChar w:fldCharType="end"/>
        </w:r>
      </w:p>
    </w:sdtContent>
  </w:sdt>
  <w:p w:rsidR="008D65E8" w:rsidRDefault="008D65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513"/>
    <w:rsid w:val="0004308C"/>
    <w:rsid w:val="0006079E"/>
    <w:rsid w:val="000630DA"/>
    <w:rsid w:val="00071017"/>
    <w:rsid w:val="00092F01"/>
    <w:rsid w:val="00114341"/>
    <w:rsid w:val="0016758A"/>
    <w:rsid w:val="00183280"/>
    <w:rsid w:val="001E62C4"/>
    <w:rsid w:val="001F2860"/>
    <w:rsid w:val="002324F8"/>
    <w:rsid w:val="0024634C"/>
    <w:rsid w:val="0026794F"/>
    <w:rsid w:val="002877E8"/>
    <w:rsid w:val="002A0883"/>
    <w:rsid w:val="002C1F4B"/>
    <w:rsid w:val="002C40A1"/>
    <w:rsid w:val="002D7C44"/>
    <w:rsid w:val="003422DB"/>
    <w:rsid w:val="0034261D"/>
    <w:rsid w:val="00343A2E"/>
    <w:rsid w:val="00371B49"/>
    <w:rsid w:val="003730BE"/>
    <w:rsid w:val="00382CB1"/>
    <w:rsid w:val="003924D3"/>
    <w:rsid w:val="003E514F"/>
    <w:rsid w:val="003E611F"/>
    <w:rsid w:val="00407CD0"/>
    <w:rsid w:val="00410254"/>
    <w:rsid w:val="0041147D"/>
    <w:rsid w:val="004172D7"/>
    <w:rsid w:val="00433815"/>
    <w:rsid w:val="004352B9"/>
    <w:rsid w:val="004476DD"/>
    <w:rsid w:val="00461EDE"/>
    <w:rsid w:val="00495DD5"/>
    <w:rsid w:val="004A7350"/>
    <w:rsid w:val="004A7DF9"/>
    <w:rsid w:val="004B2F09"/>
    <w:rsid w:val="004D46E5"/>
    <w:rsid w:val="004D64E7"/>
    <w:rsid w:val="004F512F"/>
    <w:rsid w:val="005071FB"/>
    <w:rsid w:val="005271FC"/>
    <w:rsid w:val="005559D6"/>
    <w:rsid w:val="00557221"/>
    <w:rsid w:val="00557331"/>
    <w:rsid w:val="00571AA3"/>
    <w:rsid w:val="0058717F"/>
    <w:rsid w:val="00597EE8"/>
    <w:rsid w:val="005A554F"/>
    <w:rsid w:val="005D1BF4"/>
    <w:rsid w:val="005F495C"/>
    <w:rsid w:val="00605DD2"/>
    <w:rsid w:val="00606A74"/>
    <w:rsid w:val="00633901"/>
    <w:rsid w:val="006408C2"/>
    <w:rsid w:val="00641DF6"/>
    <w:rsid w:val="00645700"/>
    <w:rsid w:val="00665133"/>
    <w:rsid w:val="00677446"/>
    <w:rsid w:val="006966C9"/>
    <w:rsid w:val="006A3A03"/>
    <w:rsid w:val="006A3B02"/>
    <w:rsid w:val="006F2F53"/>
    <w:rsid w:val="00700B9C"/>
    <w:rsid w:val="00710617"/>
    <w:rsid w:val="0073121E"/>
    <w:rsid w:val="007B2187"/>
    <w:rsid w:val="007E069A"/>
    <w:rsid w:val="00830E07"/>
    <w:rsid w:val="008354D5"/>
    <w:rsid w:val="00837ADA"/>
    <w:rsid w:val="00846681"/>
    <w:rsid w:val="0085143B"/>
    <w:rsid w:val="00871A96"/>
    <w:rsid w:val="00880719"/>
    <w:rsid w:val="0089177E"/>
    <w:rsid w:val="008A4046"/>
    <w:rsid w:val="008B08F1"/>
    <w:rsid w:val="008C3F08"/>
    <w:rsid w:val="008C49BC"/>
    <w:rsid w:val="008D65E8"/>
    <w:rsid w:val="008E6E82"/>
    <w:rsid w:val="00901D4A"/>
    <w:rsid w:val="00927C9F"/>
    <w:rsid w:val="00932BB1"/>
    <w:rsid w:val="009941F0"/>
    <w:rsid w:val="009A1C0A"/>
    <w:rsid w:val="009E0503"/>
    <w:rsid w:val="009E5B29"/>
    <w:rsid w:val="00A026F3"/>
    <w:rsid w:val="00A06AC9"/>
    <w:rsid w:val="00A96049"/>
    <w:rsid w:val="00AA02E6"/>
    <w:rsid w:val="00AC0406"/>
    <w:rsid w:val="00AD40FD"/>
    <w:rsid w:val="00AD41BE"/>
    <w:rsid w:val="00AE4DFE"/>
    <w:rsid w:val="00AF7D08"/>
    <w:rsid w:val="00B12950"/>
    <w:rsid w:val="00B22B59"/>
    <w:rsid w:val="00B236B2"/>
    <w:rsid w:val="00B73140"/>
    <w:rsid w:val="00B750B6"/>
    <w:rsid w:val="00B83A2B"/>
    <w:rsid w:val="00B85030"/>
    <w:rsid w:val="00B86F78"/>
    <w:rsid w:val="00B97074"/>
    <w:rsid w:val="00BA3C89"/>
    <w:rsid w:val="00BB7C08"/>
    <w:rsid w:val="00BD351E"/>
    <w:rsid w:val="00BE364C"/>
    <w:rsid w:val="00C02AF9"/>
    <w:rsid w:val="00C11A6B"/>
    <w:rsid w:val="00C25EA8"/>
    <w:rsid w:val="00C33D22"/>
    <w:rsid w:val="00C54B3A"/>
    <w:rsid w:val="00C655DC"/>
    <w:rsid w:val="00C65A52"/>
    <w:rsid w:val="00C71A38"/>
    <w:rsid w:val="00C75548"/>
    <w:rsid w:val="00CA4D3B"/>
    <w:rsid w:val="00CA5165"/>
    <w:rsid w:val="00CE25E9"/>
    <w:rsid w:val="00D14DED"/>
    <w:rsid w:val="00D23D8A"/>
    <w:rsid w:val="00D83F14"/>
    <w:rsid w:val="00D87913"/>
    <w:rsid w:val="00D9401F"/>
    <w:rsid w:val="00DA47CF"/>
    <w:rsid w:val="00E15664"/>
    <w:rsid w:val="00E33871"/>
    <w:rsid w:val="00E45060"/>
    <w:rsid w:val="00EA1941"/>
    <w:rsid w:val="00EA797B"/>
    <w:rsid w:val="00EC443B"/>
    <w:rsid w:val="00EC61D4"/>
    <w:rsid w:val="00EF30BC"/>
    <w:rsid w:val="00F42437"/>
    <w:rsid w:val="00F723AC"/>
    <w:rsid w:val="00F833B1"/>
    <w:rsid w:val="00FA089B"/>
    <w:rsid w:val="00FB426A"/>
    <w:rsid w:val="00FC5421"/>
    <w:rsid w:val="00FC6130"/>
    <w:rsid w:val="00FD0ACF"/>
    <w:rsid w:val="00FF2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97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9EF17-9473-4BA9-AED4-205F43F7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15047</Words>
  <Characters>8577</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23577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2014-11-28T13:37:00Z</dcterms:created>
  <dc:creator>Birute Radavičienė</dc:creator>
  <lastModifiedBy>Snieguole Kacerauskaite</lastModifiedBy>
  <dcterms:modified xsi:type="dcterms:W3CDTF">2014-11-28T13:37:00Z</dcterms:modified>
  <revision>2</revision>
</coreProperties>
</file>