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368"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tblGrid>
      <w:tr w:rsidR="0006079E" w:rsidRPr="00A71180" w:rsidTr="001A20F8">
        <w:tc>
          <w:tcPr>
            <w:tcW w:w="3368" w:type="dxa"/>
          </w:tcPr>
          <w:p w:rsidR="0006079E" w:rsidRPr="00A71180" w:rsidRDefault="0006079E" w:rsidP="0006079E">
            <w:pPr>
              <w:tabs>
                <w:tab w:val="left" w:pos="5070"/>
                <w:tab w:val="left" w:pos="5366"/>
                <w:tab w:val="left" w:pos="6771"/>
                <w:tab w:val="left" w:pos="7363"/>
              </w:tabs>
              <w:jc w:val="both"/>
            </w:pPr>
            <w:bookmarkStart w:id="0" w:name="_GoBack"/>
            <w:bookmarkEnd w:id="0"/>
            <w:r w:rsidRPr="00A71180">
              <w:t>PATVIRTINTA</w:t>
            </w:r>
          </w:p>
        </w:tc>
      </w:tr>
      <w:tr w:rsidR="0006079E" w:rsidRPr="00A71180" w:rsidTr="001A20F8">
        <w:tc>
          <w:tcPr>
            <w:tcW w:w="3368" w:type="dxa"/>
          </w:tcPr>
          <w:p w:rsidR="0006079E" w:rsidRPr="00A71180" w:rsidRDefault="0006079E" w:rsidP="0006079E">
            <w:r w:rsidRPr="00A71180">
              <w:t>Klaipėdos miesto savivaldybės</w:t>
            </w:r>
          </w:p>
        </w:tc>
      </w:tr>
      <w:tr w:rsidR="0006079E" w:rsidRPr="00A71180" w:rsidTr="001A20F8">
        <w:tc>
          <w:tcPr>
            <w:tcW w:w="3368" w:type="dxa"/>
          </w:tcPr>
          <w:p w:rsidR="0006079E" w:rsidRPr="00A71180" w:rsidRDefault="0006079E" w:rsidP="0006079E">
            <w:r w:rsidRPr="00A71180">
              <w:t xml:space="preserve">tarybos </w:t>
            </w:r>
            <w:bookmarkStart w:id="1" w:name="registravimoDataIlga"/>
            <w:r w:rsidRPr="00A71180">
              <w:rPr>
                <w:noProof/>
              </w:rPr>
              <w:fldChar w:fldCharType="begin">
                <w:ffData>
                  <w:name w:val="registravimoDataIlga"/>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2014 m. gruodžio 18 d.</w:t>
            </w:r>
            <w:r w:rsidRPr="00A71180">
              <w:rPr>
                <w:noProof/>
              </w:rPr>
              <w:fldChar w:fldCharType="end"/>
            </w:r>
            <w:bookmarkEnd w:id="1"/>
          </w:p>
        </w:tc>
      </w:tr>
      <w:tr w:rsidR="0006079E" w:rsidRPr="00A71180" w:rsidTr="001A20F8">
        <w:tc>
          <w:tcPr>
            <w:tcW w:w="3368" w:type="dxa"/>
          </w:tcPr>
          <w:p w:rsidR="0006079E" w:rsidRPr="00A71180" w:rsidRDefault="0006079E" w:rsidP="008E6E82">
            <w:pPr>
              <w:tabs>
                <w:tab w:val="left" w:pos="5070"/>
                <w:tab w:val="left" w:pos="5366"/>
                <w:tab w:val="left" w:pos="6771"/>
                <w:tab w:val="left" w:pos="7363"/>
              </w:tabs>
            </w:pPr>
            <w:r w:rsidRPr="00A71180">
              <w:t xml:space="preserve">sprendimu Nr. </w:t>
            </w:r>
            <w:bookmarkStart w:id="2" w:name="dokumentoNr"/>
            <w:r w:rsidRPr="00A71180">
              <w:rPr>
                <w:noProof/>
              </w:rPr>
              <w:fldChar w:fldCharType="begin">
                <w:ffData>
                  <w:name w:val="dokumentoNr"/>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T2-336</w:t>
            </w:r>
            <w:r w:rsidRPr="00A71180">
              <w:rPr>
                <w:noProof/>
              </w:rPr>
              <w:fldChar w:fldCharType="end"/>
            </w:r>
            <w:bookmarkEnd w:id="2"/>
          </w:p>
        </w:tc>
      </w:tr>
    </w:tbl>
    <w:p w:rsidR="0006079E" w:rsidRPr="00A71180" w:rsidRDefault="0006079E" w:rsidP="0006079E">
      <w:pPr>
        <w:jc w:val="center"/>
      </w:pPr>
    </w:p>
    <w:p w:rsidR="00913AFD" w:rsidRDefault="00913AFD" w:rsidP="00913AFD">
      <w:pPr>
        <w:jc w:val="center"/>
        <w:rPr>
          <w:b/>
          <w:noProof/>
        </w:rPr>
      </w:pPr>
    </w:p>
    <w:p w:rsidR="00913AFD" w:rsidRPr="005369F7" w:rsidRDefault="00913AFD" w:rsidP="00913AFD">
      <w:pPr>
        <w:jc w:val="center"/>
        <w:rPr>
          <w:b/>
          <w:noProof/>
        </w:rPr>
      </w:pPr>
      <w:r w:rsidRPr="005369F7">
        <w:rPr>
          <w:b/>
          <w:noProof/>
        </w:rPr>
        <w:t xml:space="preserve">KLAIPĖDOS MIESTO SAVIVALDYBĖS </w:t>
      </w:r>
    </w:p>
    <w:p w:rsidR="00913AFD" w:rsidRPr="005369F7" w:rsidRDefault="00913AFD" w:rsidP="00913AFD">
      <w:pPr>
        <w:jc w:val="center"/>
        <w:rPr>
          <w:b/>
          <w:bCs/>
        </w:rPr>
      </w:pPr>
      <w:r w:rsidRPr="005369F7">
        <w:rPr>
          <w:b/>
          <w:bCs/>
        </w:rPr>
        <w:t>201</w:t>
      </w:r>
      <w:r>
        <w:rPr>
          <w:b/>
          <w:bCs/>
        </w:rPr>
        <w:t>5</w:t>
      </w:r>
      <w:r w:rsidRPr="005369F7">
        <w:rPr>
          <w:b/>
          <w:bCs/>
        </w:rPr>
        <w:t>–201</w:t>
      </w:r>
      <w:r>
        <w:rPr>
          <w:b/>
          <w:bCs/>
        </w:rPr>
        <w:t xml:space="preserve">7 </w:t>
      </w:r>
      <w:r w:rsidRPr="005369F7">
        <w:rPr>
          <w:b/>
          <w:bCs/>
        </w:rPr>
        <w:t>METŲ STRATEGINIS VEIKLOS PLANAS</w:t>
      </w:r>
    </w:p>
    <w:p w:rsidR="00913AFD" w:rsidRPr="005369F7" w:rsidRDefault="00913AFD" w:rsidP="00913AFD">
      <w:pPr>
        <w:jc w:val="center"/>
        <w:rPr>
          <w:b/>
          <w:color w:val="000000"/>
        </w:rPr>
      </w:pPr>
    </w:p>
    <w:p w:rsidR="00913AFD" w:rsidRPr="005369F7" w:rsidRDefault="00913AFD" w:rsidP="00913AFD">
      <w:pPr>
        <w:jc w:val="center"/>
        <w:rPr>
          <w:b/>
        </w:rPr>
      </w:pPr>
      <w:r w:rsidRPr="005369F7">
        <w:rPr>
          <w:b/>
          <w:color w:val="000000"/>
        </w:rPr>
        <w:t>VEIKLOS KONTEKSTAS</w:t>
      </w:r>
    </w:p>
    <w:p w:rsidR="00913AFD" w:rsidRPr="005369F7" w:rsidRDefault="00913AFD" w:rsidP="00913AFD">
      <w:pPr>
        <w:jc w:val="both"/>
        <w:rPr>
          <w:b/>
          <w:bCs/>
          <w:color w:val="0070C0"/>
        </w:rPr>
      </w:pPr>
    </w:p>
    <w:p w:rsidR="00913AFD" w:rsidRPr="005369F7" w:rsidRDefault="00913AFD" w:rsidP="00913AFD">
      <w:pPr>
        <w:ind w:firstLine="720"/>
        <w:jc w:val="both"/>
      </w:pPr>
      <w:r w:rsidRPr="005369F7">
        <w:rPr>
          <w:bCs/>
        </w:rPr>
        <w:t xml:space="preserve">Klaipėdos miesto savivaldybės, kaip institucijos, misija – </w:t>
      </w:r>
      <w:r w:rsidRPr="005369F7">
        <w:t>t</w:t>
      </w:r>
      <w:r w:rsidRPr="005369F7">
        <w:rPr>
          <w:bCs/>
        </w:rPr>
        <w:t xml:space="preserve">eikti miesto bendruomenei kokybiškas paslaugas, </w:t>
      </w:r>
      <w:r w:rsidRPr="005369F7">
        <w:t xml:space="preserve">atitinkančias </w:t>
      </w:r>
      <w:r w:rsidRPr="005369F7">
        <w:rPr>
          <w:bCs/>
        </w:rPr>
        <w:t xml:space="preserve">suinteresuotų šalių </w:t>
      </w:r>
      <w:r w:rsidRPr="005369F7">
        <w:t>išreikštus poreikius bei lūkesčius.</w:t>
      </w:r>
    </w:p>
    <w:p w:rsidR="00913AFD" w:rsidRPr="005369F7" w:rsidRDefault="00913AFD" w:rsidP="00913AFD">
      <w:pPr>
        <w:ind w:firstLine="720"/>
        <w:jc w:val="both"/>
      </w:pPr>
      <w:r w:rsidRPr="005369F7">
        <w:t>Klaipėdos miesto savivaldybės 201</w:t>
      </w:r>
      <w:r>
        <w:t>5</w:t>
      </w:r>
      <w:r w:rsidRPr="005369F7">
        <w:t>–201</w:t>
      </w:r>
      <w:r>
        <w:t>7 m. strateginis veiklos planas</w:t>
      </w:r>
      <w:r w:rsidRPr="005369F7">
        <w:t xml:space="preserve"> parengtas remiantis Klaipėdos miesto savivaldybės 2013–2020 metų strateginiu plėtros planu, patvirtintu Klaipėdos miesto savivaldybės tarybos 2013 m. balandžio 26 d. sprendimu Nr. T2-79. Taip pat vadovautasi kitais strateginio planavimo dokumentais, tarp kurių svarbu paminėti Klaipėdos miesto savivaldybės tarybos 2011 m. lapkričio 24 d. sprendimu Nr. T2-350 patvirtintus </w:t>
      </w:r>
      <w:r w:rsidRPr="005369F7">
        <w:rPr>
          <w:color w:val="000000"/>
        </w:rPr>
        <w:t>Klaipėdos miesto savivaldybės 2012–2015 metų veiklos prioritetus, kuriais remiantis buvo formuojama savivaldybės veiklos strategija ir finansavimo paskirstymas programoms.</w:t>
      </w:r>
    </w:p>
    <w:p w:rsidR="00913AFD" w:rsidRPr="005369F7" w:rsidRDefault="00913AFD" w:rsidP="00913AFD">
      <w:pPr>
        <w:pStyle w:val="Betarp1"/>
        <w:jc w:val="both"/>
        <w:rPr>
          <w:rFonts w:ascii="Times New Roman" w:hAnsi="Times New Roman" w:cs="Times New Roman"/>
          <w:sz w:val="24"/>
          <w:szCs w:val="24"/>
          <w:lang w:val="lt-LT"/>
        </w:rPr>
      </w:pPr>
    </w:p>
    <w:p w:rsidR="00913AFD" w:rsidRPr="005369F7" w:rsidRDefault="00913AFD" w:rsidP="00913AFD">
      <w:pPr>
        <w:jc w:val="center"/>
        <w:rPr>
          <w:b/>
          <w:color w:val="FF0000"/>
        </w:rPr>
      </w:pPr>
      <w:r w:rsidRPr="005369F7">
        <w:rPr>
          <w:b/>
        </w:rPr>
        <w:t>Veiklos prioritetai 201</w:t>
      </w:r>
      <w:r>
        <w:rPr>
          <w:b/>
        </w:rPr>
        <w:t>5</w:t>
      </w:r>
      <w:r w:rsidRPr="005369F7">
        <w:rPr>
          <w:b/>
        </w:rPr>
        <w:t>–201</w:t>
      </w:r>
      <w:r>
        <w:rPr>
          <w:b/>
        </w:rPr>
        <w:t>7</w:t>
      </w:r>
      <w:r w:rsidRPr="005369F7">
        <w:rPr>
          <w:b/>
        </w:rPr>
        <w:t xml:space="preserve"> metais</w:t>
      </w:r>
    </w:p>
    <w:p w:rsidR="00913AFD" w:rsidRPr="005369F7" w:rsidRDefault="00913AFD" w:rsidP="00913AFD">
      <w:pPr>
        <w:ind w:firstLine="426"/>
        <w:jc w:val="center"/>
        <w:rPr>
          <w:b/>
        </w:rPr>
      </w:pPr>
    </w:p>
    <w:p w:rsidR="00913AFD" w:rsidRPr="005369F7" w:rsidRDefault="00913AFD" w:rsidP="00913AFD">
      <w:pPr>
        <w:pStyle w:val="prastasistinklapis"/>
        <w:spacing w:after="0" w:line="240" w:lineRule="auto"/>
        <w:ind w:left="0" w:firstLine="709"/>
        <w:rPr>
          <w:rFonts w:ascii="Times New Roman" w:hAnsi="Times New Roman" w:cs="Times New Roman"/>
          <w:b/>
          <w:lang w:val="lt-LT"/>
        </w:rPr>
      </w:pPr>
      <w:r w:rsidRPr="005369F7">
        <w:rPr>
          <w:rFonts w:ascii="Times New Roman" w:hAnsi="Times New Roman" w:cs="Times New Roman"/>
          <w:b/>
          <w:lang w:val="lt-LT"/>
        </w:rPr>
        <w:t>1. Skaidrus ir efektyvus valdymas:</w:t>
      </w:r>
    </w:p>
    <w:p w:rsidR="00913AFD" w:rsidRPr="005369F7" w:rsidRDefault="00913AFD" w:rsidP="00913AFD">
      <w:pPr>
        <w:ind w:firstLine="709"/>
        <w:jc w:val="both"/>
        <w:rPr>
          <w:b/>
        </w:rPr>
      </w:pPr>
      <w:r w:rsidRPr="005369F7">
        <w:rPr>
          <w:b/>
        </w:rPr>
        <w:t>1.1. Savivaldybės institucijų, įstaigų ir įmonių veiklos efektyvumo, atsakomybės, atskaitingumo ir viešumo didinimas.</w:t>
      </w:r>
    </w:p>
    <w:p w:rsidR="00913AFD" w:rsidRDefault="00913AFD" w:rsidP="00913AFD">
      <w:pPr>
        <w:ind w:firstLine="709"/>
        <w:jc w:val="both"/>
      </w:pPr>
      <w:r w:rsidRPr="005369F7">
        <w:t>Lietuvos laisvosios rinkos institutas 201</w:t>
      </w:r>
      <w:r>
        <w:t>3 m., jau kelintus</w:t>
      </w:r>
      <w:r w:rsidRPr="005369F7">
        <w:t xml:space="preserve"> metus iš eilės, Klaipėdos miesto savivaldybę išrinko kaip geriausiai valdomą ir patraukliausią investuotojams savivaldybę</w:t>
      </w:r>
      <w:r w:rsidRPr="005369F7">
        <w:rPr>
          <w:rStyle w:val="Puslapioinaosnuoroda"/>
        </w:rPr>
        <w:footnoteReference w:id="1"/>
      </w:r>
      <w:r w:rsidRPr="005369F7">
        <w:t>. Vidaus reikalų ministerijos atliktame Savivaldybių veiklos tyrime Klaipėdos miesto savivaldybė įvardyta kaip savivaldybė, kurios valdymo išlaidos vienam gyventojui yra mažiausios</w:t>
      </w:r>
      <w:r w:rsidRPr="005369F7">
        <w:rPr>
          <w:rStyle w:val="Puslapioinaosnuoroda"/>
        </w:rPr>
        <w:footnoteReference w:id="2"/>
      </w:r>
      <w:r w:rsidRPr="005369F7">
        <w:t xml:space="preserve">. </w:t>
      </w:r>
    </w:p>
    <w:p w:rsidR="00913AFD" w:rsidRDefault="00913AFD" w:rsidP="00913AFD">
      <w:pPr>
        <w:ind w:firstLine="709"/>
        <w:jc w:val="both"/>
      </w:pPr>
      <w:r w:rsidRPr="005369F7">
        <w:t>Siekiant išlaikyti efektyviai dirbančios savivaldybės statusą, 201</w:t>
      </w:r>
      <w:r>
        <w:t>5</w:t>
      </w:r>
      <w:r w:rsidRPr="005369F7">
        <w:t>–201</w:t>
      </w:r>
      <w:r>
        <w:t>7</w:t>
      </w:r>
      <w:r w:rsidRPr="005369F7">
        <w:t xml:space="preserve"> m. bus tęsiam</w:t>
      </w:r>
      <w:r>
        <w:t xml:space="preserve">i </w:t>
      </w:r>
      <w:r w:rsidRPr="005369F7">
        <w:t>pradėt</w:t>
      </w:r>
      <w:r>
        <w:t>i</w:t>
      </w:r>
      <w:r w:rsidRPr="005369F7">
        <w:t xml:space="preserve"> veiklos valdymo </w:t>
      </w:r>
      <w:r>
        <w:t>tobulinimo darbai.</w:t>
      </w:r>
    </w:p>
    <w:p w:rsidR="00913AFD" w:rsidRPr="005369F7" w:rsidRDefault="00913AFD" w:rsidP="00913AFD">
      <w:pPr>
        <w:ind w:firstLine="498"/>
        <w:jc w:val="both"/>
        <w:rPr>
          <w:lang w:eastAsia="lt-LT"/>
        </w:rPr>
      </w:pPr>
      <w:r>
        <w:t xml:space="preserve">Dėmesys bus sutelktas į informacinių technologijų taikymą teikiant administracines ir viešąsias paslaugas.  </w:t>
      </w:r>
      <w:r>
        <w:rPr>
          <w:lang w:eastAsia="lt-LT"/>
        </w:rPr>
        <w:t>2015–2017 m. Klaipėdos miesto bendrojo lavinimo mokyklose</w:t>
      </w:r>
      <w:r w:rsidRPr="002525D1">
        <w:rPr>
          <w:lang w:eastAsia="lt-LT"/>
        </w:rPr>
        <w:t xml:space="preserve"> </w:t>
      </w:r>
      <w:r>
        <w:rPr>
          <w:lang w:eastAsia="lt-LT"/>
        </w:rPr>
        <w:t>planuojama įdiegti</w:t>
      </w:r>
      <w:r w:rsidRPr="002525D1">
        <w:rPr>
          <w:lang w:eastAsia="lt-LT"/>
        </w:rPr>
        <w:t xml:space="preserve"> </w:t>
      </w:r>
      <w:r>
        <w:rPr>
          <w:lang w:eastAsia="lt-LT"/>
        </w:rPr>
        <w:t xml:space="preserve">elektroninį mokinio pažymėjimą. Bus tęsiamas savivaldybės teikiamų administracinių paslaugų perkėlimas į elektroninę erdvę (2013 m. iš teikiamų 235 tokių paslaugų 64 buvo teikiamos 3 elektroninių paslaugų brandos lygiu, 2014 m. – 90, planuojama ilgainiui į elektroninę erdvę perkelti visas paslaugas ir siekti jų teikimo aukščiausiu – 4 brandos lygiu). 2015 m., įgyvendinant ES lėšomis iš dalies finansuojamą projektą, numatoma įrengti </w:t>
      </w:r>
      <w:r w:rsidRPr="00F67BC7">
        <w:rPr>
          <w:bCs/>
          <w:lang w:eastAsia="lt-LT"/>
        </w:rPr>
        <w:t>3</w:t>
      </w:r>
      <w:r>
        <w:rPr>
          <w:b/>
          <w:bCs/>
          <w:color w:val="C00000"/>
          <w:lang w:eastAsia="lt-LT"/>
        </w:rPr>
        <w:t xml:space="preserve"> </w:t>
      </w:r>
      <w:r>
        <w:rPr>
          <w:lang w:eastAsia="lt-LT"/>
        </w:rPr>
        <w:t>lauko skaitmeninius e. kioskus ir 1 ekraną: piliavietės teritorijoje, prie Kultūros fabriko, prie Pilies tilto. E. kioskuose miesto gyventojams ir turistams bus pateikiama naudinga informacija, pvz., lankytini objektai, kultūros renginiai, įgyvendinami investiciniai projektai mieste, tikslinėje teritorijoje, praktinė informacija apie viešąjį transportą ir viešąsias paslaugas Klaipėdos mieste.</w:t>
      </w:r>
    </w:p>
    <w:p w:rsidR="00913AFD" w:rsidRDefault="00913AFD" w:rsidP="00913AFD">
      <w:pPr>
        <w:pStyle w:val="prastasistinklapis"/>
        <w:spacing w:after="0" w:line="240" w:lineRule="auto"/>
        <w:ind w:left="0" w:firstLine="709"/>
        <w:jc w:val="both"/>
        <w:rPr>
          <w:rFonts w:ascii="Times New Roman" w:eastAsia="Times New Roman" w:hAnsi="Times New Roman" w:cs="Times New Roman"/>
          <w:b/>
          <w:lang w:val="lt-LT"/>
        </w:rPr>
      </w:pPr>
      <w:r w:rsidRPr="005369F7">
        <w:rPr>
          <w:rFonts w:ascii="Times New Roman" w:eastAsia="Times New Roman" w:hAnsi="Times New Roman" w:cs="Times New Roman"/>
          <w:lang w:val="lt-LT"/>
        </w:rPr>
        <w:t>Siekiant patobulinti savivaldybės</w:t>
      </w:r>
      <w:r>
        <w:rPr>
          <w:rFonts w:ascii="Times New Roman" w:eastAsia="Times New Roman" w:hAnsi="Times New Roman" w:cs="Times New Roman"/>
          <w:lang w:val="lt-LT"/>
        </w:rPr>
        <w:t xml:space="preserve"> vidinės</w:t>
      </w:r>
      <w:r w:rsidRPr="005369F7">
        <w:rPr>
          <w:rFonts w:ascii="Times New Roman" w:eastAsia="Times New Roman" w:hAnsi="Times New Roman" w:cs="Times New Roman"/>
          <w:lang w:val="lt-LT"/>
        </w:rPr>
        <w:t xml:space="preserve"> veiklos valdymo procesus, įgyvendinamas ES iš dalies finansuojamas tęstinis projektas </w:t>
      </w:r>
      <w:r w:rsidRPr="005369F7">
        <w:rPr>
          <w:rFonts w:ascii="Times New Roman" w:eastAsia="Times New Roman" w:hAnsi="Times New Roman" w:cs="Times New Roman"/>
          <w:i/>
          <w:lang w:val="lt-LT"/>
        </w:rPr>
        <w:t xml:space="preserve">„Klaipėdos miesto savivaldybės administracijos darbo organizavimo gerinimas tobulinant organizacinę struktūrą, finansinių išteklių ir veiklos valdymo procesus“. </w:t>
      </w:r>
      <w:r w:rsidRPr="005369F7">
        <w:rPr>
          <w:rFonts w:ascii="Times New Roman" w:eastAsia="Times New Roman" w:hAnsi="Times New Roman" w:cs="Times New Roman"/>
          <w:lang w:val="lt-LT"/>
        </w:rPr>
        <w:t>Vykdant šį projektą 2013 m. buvo įdiegta veiklos ir finansų valdymo bei apskaitos informacinė sistema, o</w:t>
      </w:r>
      <w:r w:rsidRPr="005369F7">
        <w:rPr>
          <w:rFonts w:ascii="Times New Roman" w:eastAsia="Times New Roman" w:hAnsi="Times New Roman" w:cs="Times New Roman"/>
          <w:i/>
          <w:lang w:val="lt-LT"/>
        </w:rPr>
        <w:t xml:space="preserve">  </w:t>
      </w:r>
      <w:r w:rsidRPr="005369F7">
        <w:rPr>
          <w:rFonts w:ascii="Times New Roman" w:eastAsia="Times New Roman" w:hAnsi="Times New Roman" w:cs="Times New Roman"/>
          <w:lang w:val="lt-LT"/>
        </w:rPr>
        <w:t>2015 m. numatoma sukurti investicinių projektų valdymo modulį, kuris leis efektyviau vykdyti savivaldybės įgyvendin</w:t>
      </w:r>
      <w:r>
        <w:rPr>
          <w:rFonts w:ascii="Times New Roman" w:eastAsia="Times New Roman" w:hAnsi="Times New Roman" w:cs="Times New Roman"/>
          <w:lang w:val="lt-LT"/>
        </w:rPr>
        <w:t>a</w:t>
      </w:r>
      <w:r w:rsidRPr="005369F7">
        <w:rPr>
          <w:rFonts w:ascii="Times New Roman" w:eastAsia="Times New Roman" w:hAnsi="Times New Roman" w:cs="Times New Roman"/>
          <w:lang w:val="lt-LT"/>
        </w:rPr>
        <w:t xml:space="preserve">mų investicinių projektų </w:t>
      </w:r>
      <w:proofErr w:type="spellStart"/>
      <w:r w:rsidRPr="005369F7">
        <w:rPr>
          <w:rFonts w:ascii="Times New Roman" w:eastAsia="Times New Roman" w:hAnsi="Times New Roman" w:cs="Times New Roman"/>
          <w:lang w:val="lt-LT"/>
        </w:rPr>
        <w:t>stebėseną</w:t>
      </w:r>
      <w:proofErr w:type="spellEnd"/>
      <w:r w:rsidRPr="005369F7">
        <w:rPr>
          <w:rFonts w:ascii="Times New Roman" w:eastAsia="Times New Roman" w:hAnsi="Times New Roman" w:cs="Times New Roman"/>
          <w:lang w:val="lt-LT"/>
        </w:rPr>
        <w:t xml:space="preserve"> ir kontrolę. </w:t>
      </w:r>
      <w:r w:rsidRPr="005369F7">
        <w:rPr>
          <w:rFonts w:ascii="Times New Roman" w:eastAsia="Times New Roman" w:hAnsi="Times New Roman" w:cs="Times New Roman"/>
          <w:b/>
          <w:lang w:val="lt-LT"/>
        </w:rPr>
        <w:t xml:space="preserve"> </w:t>
      </w:r>
    </w:p>
    <w:p w:rsidR="00913AFD" w:rsidRPr="005369F7" w:rsidRDefault="00913AFD" w:rsidP="00913AFD">
      <w:pPr>
        <w:pStyle w:val="prastasistinklapis"/>
        <w:spacing w:after="0" w:line="240" w:lineRule="auto"/>
        <w:ind w:left="0" w:firstLine="709"/>
        <w:jc w:val="both"/>
        <w:rPr>
          <w:rFonts w:ascii="Times New Roman" w:eastAsia="Times New Roman" w:hAnsi="Times New Roman" w:cs="Times New Roman"/>
          <w:b/>
          <w:lang w:val="lt-LT"/>
        </w:rPr>
      </w:pPr>
    </w:p>
    <w:p w:rsidR="00913AFD" w:rsidRPr="005369F7" w:rsidRDefault="00913AFD" w:rsidP="00913AFD">
      <w:pPr>
        <w:pStyle w:val="prastasistinklapis"/>
        <w:spacing w:after="0" w:line="240" w:lineRule="auto"/>
        <w:ind w:left="0" w:firstLine="709"/>
        <w:jc w:val="both"/>
        <w:rPr>
          <w:rFonts w:ascii="Times New Roman" w:eastAsia="Times New Roman" w:hAnsi="Times New Roman" w:cs="Times New Roman"/>
          <w:lang w:val="lt-LT"/>
        </w:rPr>
      </w:pPr>
      <w:r>
        <w:rPr>
          <w:rFonts w:ascii="Times New Roman" w:eastAsia="Times New Roman" w:hAnsi="Times New Roman" w:cs="Times New Roman"/>
          <w:lang w:val="lt-LT"/>
        </w:rPr>
        <w:t>Bus tęsiama iniciatyva taikyti s</w:t>
      </w:r>
      <w:r w:rsidRPr="005369F7">
        <w:rPr>
          <w:rFonts w:ascii="Times New Roman" w:eastAsia="Times New Roman" w:hAnsi="Times New Roman" w:cs="Times New Roman"/>
          <w:lang w:val="lt-LT"/>
        </w:rPr>
        <w:t>trateginio planavimo princip</w:t>
      </w:r>
      <w:r>
        <w:rPr>
          <w:rFonts w:ascii="Times New Roman" w:eastAsia="Times New Roman" w:hAnsi="Times New Roman" w:cs="Times New Roman"/>
          <w:lang w:val="lt-LT"/>
        </w:rPr>
        <w:t>us</w:t>
      </w:r>
      <w:r w:rsidRPr="005369F7">
        <w:rPr>
          <w:rFonts w:ascii="Times New Roman" w:eastAsia="Times New Roman" w:hAnsi="Times New Roman" w:cs="Times New Roman"/>
          <w:lang w:val="lt-LT"/>
        </w:rPr>
        <w:t xml:space="preserve"> savivaldybės kontroliuojamų įmonių ir įstaigų valdyme. Vadovaujantis </w:t>
      </w:r>
      <w:r w:rsidRPr="005369F7">
        <w:rPr>
          <w:rFonts w:ascii="Times New Roman" w:hAnsi="Times New Roman" w:cs="Times New Roman"/>
          <w:lang w:val="lt-LT"/>
        </w:rPr>
        <w:t xml:space="preserve">Klaipėdos miesto </w:t>
      </w:r>
      <w:r w:rsidRPr="005369F7">
        <w:rPr>
          <w:rFonts w:ascii="Times New Roman" w:eastAsia="Times New Roman" w:hAnsi="Times New Roman" w:cs="Times New Roman"/>
          <w:lang w:val="lt-LT"/>
        </w:rPr>
        <w:t xml:space="preserve">savivaldybės tarybos 2011 m. lapkričio 24 d. sprendimu Nr. T2-373 patvirtintomis </w:t>
      </w:r>
      <w:r w:rsidRPr="005369F7">
        <w:rPr>
          <w:rFonts w:ascii="Times New Roman" w:eastAsia="Times New Roman" w:hAnsi="Times New Roman" w:cs="Times New Roman"/>
          <w:color w:val="000000"/>
          <w:lang w:val="lt-LT" w:eastAsia="lt-LT"/>
        </w:rPr>
        <w:t xml:space="preserve">Savivaldybės įmonių, viešųjų įstaigų, akcinių ir uždarųjų akcinių bendrovių, </w:t>
      </w:r>
      <w:r w:rsidRPr="005369F7">
        <w:rPr>
          <w:rFonts w:ascii="Times New Roman" w:eastAsia="Times New Roman" w:hAnsi="Times New Roman" w:cs="Times New Roman"/>
          <w:lang w:val="lt-LT" w:eastAsia="lt-LT"/>
        </w:rPr>
        <w:t>kurių dalyvė</w:t>
      </w:r>
      <w:r w:rsidRPr="005369F7">
        <w:rPr>
          <w:rFonts w:ascii="Times New Roman" w:eastAsia="Times New Roman" w:hAnsi="Times New Roman" w:cs="Times New Roman"/>
          <w:color w:val="000000"/>
          <w:lang w:val="lt-LT" w:eastAsia="lt-LT"/>
        </w:rPr>
        <w:t xml:space="preserve"> yra Klaipėdos miesto savivaldybė, strateginių veiklos planų rengimo</w:t>
      </w:r>
      <w:r w:rsidRPr="005369F7">
        <w:rPr>
          <w:rFonts w:ascii="Times New Roman" w:eastAsia="Times New Roman" w:hAnsi="Times New Roman" w:cs="Times New Roman"/>
          <w:lang w:val="lt-LT" w:eastAsia="lt-LT"/>
        </w:rPr>
        <w:t xml:space="preserve"> </w:t>
      </w:r>
      <w:r w:rsidRPr="005369F7">
        <w:rPr>
          <w:rFonts w:ascii="Times New Roman" w:eastAsia="Times New Roman" w:hAnsi="Times New Roman" w:cs="Times New Roman"/>
          <w:color w:val="000000"/>
          <w:lang w:val="lt-LT" w:eastAsia="lt-LT"/>
        </w:rPr>
        <w:t xml:space="preserve">rekomendacijomis, trejų metų strateginius veiklos planus </w:t>
      </w:r>
      <w:r>
        <w:rPr>
          <w:rFonts w:ascii="Times New Roman" w:eastAsia="Times New Roman" w:hAnsi="Times New Roman" w:cs="Times New Roman"/>
          <w:color w:val="000000"/>
          <w:lang w:val="lt-LT" w:eastAsia="lt-LT"/>
        </w:rPr>
        <w:t xml:space="preserve">rengia </w:t>
      </w:r>
      <w:r w:rsidRPr="005369F7">
        <w:rPr>
          <w:rFonts w:ascii="Times New Roman" w:eastAsia="Times New Roman" w:hAnsi="Times New Roman" w:cs="Times New Roman"/>
          <w:color w:val="000000"/>
          <w:lang w:val="lt-LT" w:eastAsia="lt-LT"/>
        </w:rPr>
        <w:t xml:space="preserve">visos savivaldybės kontroliuojamos akcinės, uždarosios akcinės bendrovės, savivaldybės įmonės, viešosios įstaigos. </w:t>
      </w:r>
      <w:r w:rsidRPr="005369F7">
        <w:rPr>
          <w:rFonts w:ascii="Times New Roman" w:eastAsia="Times New Roman" w:hAnsi="Times New Roman" w:cs="Times New Roman"/>
          <w:lang w:val="lt-LT"/>
        </w:rPr>
        <w:t xml:space="preserve">Savivaldybė ėmėsi šios iniciatyvos tam, kad galėtų efektyviai pamatuoti kiekvienos įmonės veiklos rezultatus, o įmonių vadovai aiškiai žinotų, kokias užduotis jiems formuluoja Savivaldybės administracijos direktorius bei įmonių ir įstaigų valdymo organai. Siekiama, kad įmonės ir įstaigos formuluotų aiškius tikslus, uždavinius, rodiklius, numatytų veiksmus trejiems metams bei pagrįstų planuojamas investicijas. Reikalaujama, kad įmonių ir įstaigų planai būtų kompleksiški, kad tikslai atitiktų ilgalaikius savivaldybės strateginio planavimo dokumentus, būtų orientuoti į racionalų išteklių naudojimą, klientų aptarnavimo tobulinimą, naujų technologijų diegimą. Įmonių ir įstaigų parengtus strateginius veiklos planus vertina Savivaldybės administracijos direktoriaus įsakymu sudaryta darbo grupė, kuri kasmet pateikia rekomendacijas dėl įmonių ir įstaigų veiklos tobulinimo. </w:t>
      </w:r>
    </w:p>
    <w:p w:rsidR="00913AFD" w:rsidRPr="005369F7" w:rsidRDefault="00913AFD" w:rsidP="00913AFD">
      <w:pPr>
        <w:pStyle w:val="prastasistinklapis"/>
        <w:spacing w:after="0" w:line="240" w:lineRule="auto"/>
        <w:ind w:left="0" w:firstLine="709"/>
        <w:jc w:val="both"/>
        <w:rPr>
          <w:rFonts w:ascii="Times New Roman" w:eastAsia="Times New Roman" w:hAnsi="Times New Roman" w:cs="Times New Roman"/>
          <w:lang w:val="lt-LT"/>
        </w:rPr>
      </w:pPr>
    </w:p>
    <w:p w:rsidR="00913AFD" w:rsidRPr="005369F7" w:rsidRDefault="00913AFD" w:rsidP="00913AFD">
      <w:pPr>
        <w:ind w:firstLine="709"/>
        <w:jc w:val="both"/>
        <w:rPr>
          <w:b/>
        </w:rPr>
      </w:pPr>
      <w:r w:rsidRPr="005369F7">
        <w:rPr>
          <w:b/>
        </w:rPr>
        <w:t>1.2. Savivaldybės teikiamų paslaugų įvairovės, prieinamumo, kokybės ir ekonomiškumo pusiausvyros užtikrinimas.</w:t>
      </w:r>
    </w:p>
    <w:p w:rsidR="00913AFD" w:rsidRDefault="00913AFD" w:rsidP="00913AFD">
      <w:pPr>
        <w:ind w:firstLine="709"/>
        <w:jc w:val="both"/>
      </w:pPr>
      <w:r w:rsidRPr="005369F7">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švietimo, socialinėje, komunalinio ūkio ir kitose šalies įstatymų bei kitų teisės aktų priskirtose srityse.</w:t>
      </w:r>
    </w:p>
    <w:p w:rsidR="00913AFD" w:rsidRDefault="00913AFD" w:rsidP="00913AFD">
      <w:pPr>
        <w:ind w:firstLine="709"/>
        <w:jc w:val="both"/>
      </w:pPr>
      <w:r>
        <w:t>2015–</w:t>
      </w:r>
      <w:r w:rsidRPr="00BC15E2">
        <w:t>2017 m. planuojama plėsti socialin</w:t>
      </w:r>
      <w:r>
        <w:t xml:space="preserve">ių </w:t>
      </w:r>
      <w:r w:rsidRPr="00BC15E2">
        <w:t>ir sveik</w:t>
      </w:r>
      <w:r>
        <w:t>at</w:t>
      </w:r>
      <w:r w:rsidRPr="00BC15E2">
        <w:t>os priežiūros paslaug</w:t>
      </w:r>
      <w:r>
        <w:t>ų</w:t>
      </w:r>
      <w:r w:rsidRPr="00BC15E2">
        <w:t xml:space="preserve"> įvairovę. 2015</w:t>
      </w:r>
      <w:r>
        <w:t> </w:t>
      </w:r>
      <w:r w:rsidRPr="00BC15E2">
        <w:t>m. pradžioje bus pabaigta pastato  Kretingos g. 44 rekonstrukcija</w:t>
      </w:r>
      <w:r w:rsidRPr="0085615A">
        <w:t xml:space="preserve">, šiame pastate </w:t>
      </w:r>
      <w:r>
        <w:t xml:space="preserve">duris atvers </w:t>
      </w:r>
      <w:r w:rsidRPr="002E4AF3">
        <w:t>Senyvo amžiaus asmenų dienos socialinės globos centras</w:t>
      </w:r>
      <w:r>
        <w:t xml:space="preserve"> bei </w:t>
      </w:r>
      <w:r w:rsidRPr="0085615A">
        <w:t>Suaugusių asmenų su psichine negalia dienos socialinės globos centras</w:t>
      </w:r>
      <w:r>
        <w:t xml:space="preserve">. </w:t>
      </w:r>
      <w:r w:rsidRPr="0085615A">
        <w:t>Nuo 201</w:t>
      </w:r>
      <w:r>
        <w:t xml:space="preserve">5 m. bus pradėta teikti </w:t>
      </w:r>
      <w:r w:rsidRPr="0085615A">
        <w:t xml:space="preserve">benamių asmenų, piktnaudžiaujančių alkoholiu ir psichotropinėmis medžiagomis, </w:t>
      </w:r>
      <w:r>
        <w:t>laikino</w:t>
      </w:r>
      <w:r w:rsidRPr="0085615A">
        <w:t xml:space="preserve"> apgyvendinamo, esant krizinei situacijai</w:t>
      </w:r>
      <w:r>
        <w:t>,</w:t>
      </w:r>
      <w:r w:rsidRPr="0085615A">
        <w:t xml:space="preserve"> paslauga. 2015</w:t>
      </w:r>
      <w:r>
        <w:t>–</w:t>
      </w:r>
      <w:r w:rsidRPr="0085615A">
        <w:t xml:space="preserve">2017 m. planuojama įsteigti </w:t>
      </w:r>
      <w:r>
        <w:t xml:space="preserve">grupinio </w:t>
      </w:r>
      <w:r w:rsidRPr="0085615A">
        <w:t>savarankiško gyvenimo namus, kuriuose paslaugos  būtų teikiamos socialinės rizikos asmenims.</w:t>
      </w:r>
      <w:r>
        <w:rPr>
          <w:color w:val="FF0000"/>
        </w:rPr>
        <w:t xml:space="preserve"> </w:t>
      </w:r>
      <w:r>
        <w:t xml:space="preserve">BĮ </w:t>
      </w:r>
      <w:r w:rsidRPr="0085615A">
        <w:t>Klaipėdos sut</w:t>
      </w:r>
      <w:r>
        <w:t>rikusio vystymosi kūdikių namuose</w:t>
      </w:r>
      <w:r w:rsidRPr="0085615A">
        <w:t xml:space="preserve"> planuojama pradėti teikti „atokvėpio“ paslaugas šeimoms, auginančioms vaiką su negalia</w:t>
      </w:r>
      <w:r>
        <w:t>,</w:t>
      </w:r>
      <w:r w:rsidRPr="0085615A">
        <w:t xml:space="preserve"> bei paslaugos likusiai be tėvų globos nepilnametei mamai su vaiku.</w:t>
      </w:r>
      <w:r w:rsidRPr="00252F63">
        <w:t xml:space="preserve"> „</w:t>
      </w:r>
      <w:proofErr w:type="spellStart"/>
      <w:r w:rsidRPr="00252F63">
        <w:t>Medeinės</w:t>
      </w:r>
      <w:proofErr w:type="spellEnd"/>
      <w:r w:rsidRPr="00252F63">
        <w:t>“ mokykloje specialiųjų poreikių mokiniams</w:t>
      </w:r>
      <w:r>
        <w:t xml:space="preserve"> bus pradėtos teikti</w:t>
      </w:r>
      <w:r w:rsidRPr="00252F63">
        <w:t xml:space="preserve"> reabilitacinės paslaugos</w:t>
      </w:r>
      <w:r>
        <w:t>.</w:t>
      </w:r>
      <w:r w:rsidRPr="00252F63">
        <w:t xml:space="preserve">  </w:t>
      </w:r>
    </w:p>
    <w:p w:rsidR="00913AFD" w:rsidRDefault="00913AFD" w:rsidP="00913AFD">
      <w:pPr>
        <w:ind w:firstLine="709"/>
        <w:jc w:val="both"/>
        <w:rPr>
          <w:color w:val="FF0000"/>
        </w:rPr>
      </w:pPr>
      <w:r>
        <w:t xml:space="preserve">Siekiant aukštesnės paslaugų kokybės Klaipėdos paplūdimiuose ir norint gauti Mėlynosios vėliavos statusą, bus atnaujinama paplūdimių infrastruktūra – įrengiami dušai, atnaujinami informaciniai stendai, gerinama paplūdimių valymo kokybė. </w:t>
      </w:r>
    </w:p>
    <w:p w:rsidR="00913AFD" w:rsidRPr="00252F63" w:rsidRDefault="00913AFD" w:rsidP="00913AFD">
      <w:pPr>
        <w:ind w:firstLine="709"/>
        <w:jc w:val="both"/>
      </w:pPr>
      <w:r w:rsidRPr="00252F63">
        <w:t xml:space="preserve">Siekiant optimizuoti teikiamas paslaugas ir užtikrinti jų </w:t>
      </w:r>
      <w:r>
        <w:t>aukštesnę</w:t>
      </w:r>
      <w:r w:rsidRPr="00252F63">
        <w:t xml:space="preserve"> kokybę, 2014 m. atlikta Viešosios biblioteko</w:t>
      </w:r>
      <w:r>
        <w:t>s tinklo ir bendruomenės centrų</w:t>
      </w:r>
      <w:r w:rsidRPr="00252F63">
        <w:t xml:space="preserve"> modernizavimo galimybių studija, kurios išvadomis remiantis </w:t>
      </w:r>
      <w:r>
        <w:t xml:space="preserve">ateityje </w:t>
      </w:r>
      <w:r w:rsidRPr="00252F63">
        <w:t xml:space="preserve">bus pertvarkomas bibliotekų tinklas. </w:t>
      </w:r>
    </w:p>
    <w:p w:rsidR="00913AFD" w:rsidRPr="005369F7" w:rsidRDefault="00913AFD" w:rsidP="00913AFD">
      <w:pPr>
        <w:jc w:val="both"/>
      </w:pPr>
    </w:p>
    <w:p w:rsidR="00913AFD" w:rsidRPr="005369F7" w:rsidRDefault="00913AFD" w:rsidP="00913AFD">
      <w:pPr>
        <w:ind w:firstLine="709"/>
        <w:jc w:val="both"/>
        <w:rPr>
          <w:b/>
        </w:rPr>
      </w:pPr>
      <w:r w:rsidRPr="005369F7">
        <w:rPr>
          <w:b/>
        </w:rPr>
        <w:t xml:space="preserve">1.3. Miesto urbanistinio planavimo tobulinimas. </w:t>
      </w:r>
    </w:p>
    <w:p w:rsidR="00913AFD" w:rsidRDefault="00913AFD" w:rsidP="00913AFD">
      <w:pPr>
        <w:ind w:firstLine="709"/>
        <w:jc w:val="both"/>
      </w:pPr>
      <w:r w:rsidRPr="005369F7">
        <w:t>201</w:t>
      </w:r>
      <w:r>
        <w:t>5</w:t>
      </w:r>
      <w:r w:rsidRPr="005369F7">
        <w:t>–201</w:t>
      </w:r>
      <w:r>
        <w:t>7</w:t>
      </w:r>
      <w:r w:rsidRPr="005369F7">
        <w:t xml:space="preserve"> met</w:t>
      </w:r>
      <w:r>
        <w:t>ais numatoma parengti</w:t>
      </w:r>
      <w:r w:rsidRPr="005369F7">
        <w:t xml:space="preserve"> svarbiausi</w:t>
      </w:r>
      <w:r>
        <w:t>ą</w:t>
      </w:r>
      <w:r w:rsidRPr="005369F7">
        <w:t xml:space="preserve"> savivaldybės teritorijų planavimo dokument</w:t>
      </w:r>
      <w:r>
        <w:t>ą</w:t>
      </w:r>
      <w:r w:rsidRPr="005369F7">
        <w:t xml:space="preserve"> – Savivaldybės bendr</w:t>
      </w:r>
      <w:r>
        <w:t>ąjį planą.</w:t>
      </w:r>
      <w:r w:rsidRPr="005369F7">
        <w:t xml:space="preserve"> </w:t>
      </w:r>
      <w:r>
        <w:t xml:space="preserve"> Siekiant parengti minėtą dokumentą kokybiškai, būtina gerai išanalizuoti pokyčius (nuo 2007 m., kai buvo patvirtintas šiuo metu galiojantis bendrasis planas) miesto urbanistinėje, socialinėje, infrastruktūros ir kitose srityse, todėl bus rengiami </w:t>
      </w:r>
      <w:r>
        <w:lastRenderedPageBreak/>
        <w:t xml:space="preserve">papildomi dokumentai – </w:t>
      </w:r>
      <w:r w:rsidRPr="00FF5943">
        <w:t>Miesto susisiekimo plėtros galimybių studij</w:t>
      </w:r>
      <w:r>
        <w:t>a</w:t>
      </w:r>
      <w:r w:rsidRPr="00FF5943">
        <w:t xml:space="preserve"> ir darnaus </w:t>
      </w:r>
      <w:proofErr w:type="spellStart"/>
      <w:r w:rsidRPr="00FF5943">
        <w:t>judumo</w:t>
      </w:r>
      <w:proofErr w:type="spellEnd"/>
      <w:r w:rsidRPr="00FF5943">
        <w:t xml:space="preserve"> plan</w:t>
      </w:r>
      <w:r>
        <w:t>as</w:t>
      </w:r>
      <w:r w:rsidRPr="00FF5943">
        <w:t xml:space="preserve">  su ekologiškų viešojo transporto rūšių planu</w:t>
      </w:r>
      <w:r>
        <w:t xml:space="preserve">, </w:t>
      </w:r>
      <w:r w:rsidRPr="00FF5943">
        <w:t>Miesto vystymo zonų prioritetų nustatymo schem</w:t>
      </w:r>
      <w:r>
        <w:t>a.</w:t>
      </w:r>
    </w:p>
    <w:p w:rsidR="00913AFD" w:rsidRPr="005369F7" w:rsidRDefault="00913AFD" w:rsidP="00913AFD">
      <w:pPr>
        <w:ind w:firstLine="709"/>
        <w:jc w:val="both"/>
      </w:pPr>
    </w:p>
    <w:p w:rsidR="00913AFD" w:rsidRPr="005369F7" w:rsidRDefault="00913AFD" w:rsidP="00913AFD">
      <w:pPr>
        <w:ind w:firstLine="709"/>
        <w:jc w:val="both"/>
        <w:rPr>
          <w:b/>
        </w:rPr>
      </w:pPr>
      <w:r w:rsidRPr="005369F7">
        <w:rPr>
          <w:b/>
        </w:rPr>
        <w:t xml:space="preserve">1.4. Bendruomenių vaidmens ir  partnerystės su valstybinėmis institucijomis ir kitomis struktūromis stiprinimas. </w:t>
      </w:r>
    </w:p>
    <w:p w:rsidR="00913AFD" w:rsidRPr="005369F7" w:rsidRDefault="00913AFD" w:rsidP="00913AFD">
      <w:pPr>
        <w:ind w:firstLine="709"/>
        <w:jc w:val="both"/>
      </w:pPr>
      <w:r w:rsidRPr="005369F7">
        <w:t xml:space="preserve">Klaipėdos mieste bendruomenė į viešųjų reikalų tvarkymą įtraukiama keliais būdais:          </w:t>
      </w:r>
    </w:p>
    <w:p w:rsidR="00913AFD" w:rsidRPr="005369F7" w:rsidRDefault="00913AFD" w:rsidP="00913AFD">
      <w:pPr>
        <w:ind w:firstLine="709"/>
        <w:jc w:val="both"/>
      </w:pPr>
      <w:r w:rsidRPr="005369F7">
        <w:t xml:space="preserve">1)  išrinkti bendruomenės atstovai – </w:t>
      </w:r>
      <w:proofErr w:type="spellStart"/>
      <w:r w:rsidRPr="005369F7">
        <w:t>seniūnaičiai</w:t>
      </w:r>
      <w:proofErr w:type="spellEnd"/>
      <w:r w:rsidRPr="005369F7">
        <w:t xml:space="preserve">, atstovaujantys miesto gyvenamiesiems rajonams; </w:t>
      </w:r>
    </w:p>
    <w:p w:rsidR="00913AFD" w:rsidRPr="005369F7" w:rsidRDefault="00913AFD" w:rsidP="00913AFD">
      <w:pPr>
        <w:ind w:firstLine="709"/>
        <w:jc w:val="both"/>
      </w:pPr>
      <w:r w:rsidRPr="005369F7">
        <w:t xml:space="preserve">2) prie savivaldybės tarybos yra įsteigtos visuomeninės tarybos, turinčios patariamąjį balsą savivaldybės institucijų priimamais sprendimais; </w:t>
      </w:r>
    </w:p>
    <w:p w:rsidR="00913AFD" w:rsidRPr="005369F7" w:rsidRDefault="00913AFD" w:rsidP="00913AFD">
      <w:pPr>
        <w:ind w:firstLine="709"/>
        <w:jc w:val="both"/>
      </w:pPr>
      <w:r w:rsidRPr="005369F7">
        <w:t xml:space="preserve">3) gyventojai gali savo nuomonę išsakyti gyventojų tribūnoje prieš kiekvieną eilinį savivaldybės tarybos posėdį. </w:t>
      </w:r>
    </w:p>
    <w:p w:rsidR="00913AFD" w:rsidRDefault="00913AFD" w:rsidP="00913AFD">
      <w:pPr>
        <w:ind w:firstLine="709"/>
        <w:jc w:val="both"/>
      </w:pPr>
      <w:r>
        <w:t xml:space="preserve">Siekiant įgyvendinti Strateginiame plėtros plane užsibrėžtą siekiamybę skirti patalpas bendruomenių poreikiams, 2015 m. planuojama suremontuoti patalpas pastate Debreceno g. 58 (buvusioje Andrejaus Rubliovo pagrindinėje mokykloje) ir skirti jas bendruomenių poreikiams, visų pirma – senjorų užimtumui. 2015–2017 m., pasinaudojant ES finansine parama, numatoma renovuoti </w:t>
      </w:r>
      <w:r w:rsidRPr="00175C49">
        <w:t xml:space="preserve">Klaipėdos miesto savivaldybės viešosios bibliotekos </w:t>
      </w:r>
      <w:r>
        <w:t xml:space="preserve">filialo </w:t>
      </w:r>
      <w:r w:rsidRPr="00175C49">
        <w:t>„Kauno atžalynas“</w:t>
      </w:r>
      <w:r>
        <w:t xml:space="preserve"> patalpas ir jose įrengti erdvę bendruomenių susitikimams ir kitoms reikmėms. </w:t>
      </w:r>
    </w:p>
    <w:p w:rsidR="00913AFD" w:rsidRPr="00960217" w:rsidRDefault="00913AFD" w:rsidP="00913AFD">
      <w:pPr>
        <w:ind w:firstLine="709"/>
        <w:jc w:val="both"/>
      </w:pPr>
      <w:r w:rsidRPr="005369F7">
        <w:t xml:space="preserve">Bendradarbiaujant su </w:t>
      </w:r>
      <w:proofErr w:type="spellStart"/>
      <w:r w:rsidRPr="005369F7">
        <w:t>seniūnaičiais</w:t>
      </w:r>
      <w:proofErr w:type="spellEnd"/>
      <w:r w:rsidRPr="005369F7">
        <w:t>, 201</w:t>
      </w:r>
      <w:r>
        <w:t xml:space="preserve">5 </w:t>
      </w:r>
      <w:r w:rsidRPr="005369F7">
        <w:t>m. laikotarpiu planuojama tęsti Socialinės apsaugos ir darbo ministerijos finansuojamos vietos bendruomenių savivaldos programos įgyvendinimą. 2012</w:t>
      </w:r>
      <w:r>
        <w:t>,</w:t>
      </w:r>
      <w:r w:rsidRPr="005369F7">
        <w:t xml:space="preserve"> 2013</w:t>
      </w:r>
      <w:r>
        <w:t>, 2014</w:t>
      </w:r>
      <w:r w:rsidRPr="005369F7">
        <w:t xml:space="preserve"> m. savivaldybė iš šios programos gavo po </w:t>
      </w:r>
      <w:r>
        <w:t xml:space="preserve">145 tūkst. </w:t>
      </w:r>
      <w:proofErr w:type="spellStart"/>
      <w:r>
        <w:t>Eur</w:t>
      </w:r>
      <w:proofErr w:type="spellEnd"/>
      <w:r w:rsidRPr="005369F7">
        <w:t xml:space="preserve"> bendruomenėms stiprinti skirtų projektų finansavimui, didžioji dalis projektų buvo skirti </w:t>
      </w:r>
      <w:r>
        <w:t xml:space="preserve">bendruomeninei </w:t>
      </w:r>
      <w:r w:rsidRPr="005369F7">
        <w:t xml:space="preserve">infrastruktūrai gerinti, vaikų aikštelėms įrengti ir kt. veiklai. </w:t>
      </w:r>
    </w:p>
    <w:p w:rsidR="00913AFD" w:rsidRPr="005369F7" w:rsidRDefault="00913AFD" w:rsidP="00913AFD">
      <w:pPr>
        <w:ind w:firstLine="709"/>
        <w:jc w:val="both"/>
      </w:pPr>
      <w:r w:rsidRPr="005369F7">
        <w:t>Numatoma toliau bendradarbiauti su VĮ Klaipėdos valstybinio jūrų uosto direkcija</w:t>
      </w:r>
      <w:r>
        <w:t>, Klaipėdos rajono savivaldybe, Lietuvos automobilių kelių direkcija</w:t>
      </w:r>
      <w:r w:rsidRPr="005369F7">
        <w:t xml:space="preserve"> bei kitomis institucijomis vystant miestui svarbius infrastruktūros ir socialinius projektus. </w:t>
      </w:r>
    </w:p>
    <w:p w:rsidR="00913AFD" w:rsidRPr="005369F7" w:rsidRDefault="00913AFD" w:rsidP="00913AFD">
      <w:pPr>
        <w:pStyle w:val="prastasistinklapis"/>
        <w:spacing w:after="0" w:line="240" w:lineRule="auto"/>
        <w:ind w:left="0" w:firstLine="709"/>
        <w:rPr>
          <w:rFonts w:ascii="Times New Roman" w:hAnsi="Times New Roman" w:cs="Times New Roman"/>
          <w:b/>
          <w:lang w:val="lt-LT"/>
        </w:rPr>
      </w:pPr>
    </w:p>
    <w:p w:rsidR="00913AFD" w:rsidRPr="005369F7" w:rsidRDefault="00913AFD" w:rsidP="00913AFD">
      <w:pPr>
        <w:pStyle w:val="prastasistinklapis"/>
        <w:spacing w:after="0" w:line="240" w:lineRule="auto"/>
        <w:ind w:left="0" w:firstLine="709"/>
        <w:rPr>
          <w:rFonts w:ascii="Times New Roman" w:hAnsi="Times New Roman" w:cs="Times New Roman"/>
          <w:b/>
          <w:lang w:val="lt-LT"/>
        </w:rPr>
      </w:pPr>
      <w:r w:rsidRPr="005369F7">
        <w:rPr>
          <w:rFonts w:ascii="Times New Roman" w:hAnsi="Times New Roman" w:cs="Times New Roman"/>
          <w:b/>
          <w:lang w:val="lt-LT"/>
        </w:rPr>
        <w:t>2. Sveika, tvarkinga ir saugi aplinka kiekvienam miestiečiui:</w:t>
      </w:r>
    </w:p>
    <w:p w:rsidR="00913AFD" w:rsidRPr="005369F7" w:rsidRDefault="00913AFD" w:rsidP="00913AFD">
      <w:pPr>
        <w:ind w:firstLine="709"/>
        <w:jc w:val="both"/>
        <w:rPr>
          <w:b/>
        </w:rPr>
      </w:pPr>
      <w:r w:rsidRPr="005369F7">
        <w:rPr>
          <w:b/>
        </w:rPr>
        <w:t>2.1. Apleistų miesto dalių regeneravimas sutvarkant esamas ir įrengiant naujas viešąsias erdves, parkus, rekreacines zonas.</w:t>
      </w:r>
    </w:p>
    <w:p w:rsidR="00913AFD" w:rsidRPr="001A05B1" w:rsidRDefault="00913AFD" w:rsidP="00913AFD">
      <w:pPr>
        <w:ind w:firstLine="709"/>
        <w:jc w:val="both"/>
      </w:pPr>
      <w:r>
        <w:t xml:space="preserve">Klaipėdos miesto bendrojo plano </w:t>
      </w:r>
      <w:proofErr w:type="spellStart"/>
      <w:r>
        <w:t>stebėsenos</w:t>
      </w:r>
      <w:proofErr w:type="spellEnd"/>
      <w:r>
        <w:t xml:space="preserve"> ataskaitoje</w:t>
      </w:r>
      <w:r>
        <w:rPr>
          <w:rStyle w:val="Puslapioinaosnuoroda"/>
        </w:rPr>
        <w:footnoteReference w:id="3"/>
      </w:r>
      <w:r>
        <w:t xml:space="preserve"> teigiama,  kad </w:t>
      </w:r>
      <w:r w:rsidRPr="001A05B1">
        <w:t>pastebima akivaizdi stipresnio, geriau išsilavinusio ir geresnes pajamas gaunančio socialinio sluoksnio gyventoj</w:t>
      </w:r>
      <w:r>
        <w:t>ų</w:t>
      </w:r>
      <w:r w:rsidRPr="001A05B1">
        <w:t xml:space="preserve"> migracija į Klaipėdos miesto ir periferinės zonos</w:t>
      </w:r>
      <w:r>
        <w:t xml:space="preserve"> (esančios Klaipėdos rajono teritorijoje)</w:t>
      </w:r>
      <w:r w:rsidRPr="001A05B1">
        <w:t xml:space="preserve"> šiaurinę dalį.</w:t>
      </w:r>
      <w:r>
        <w:t xml:space="preserve"> Ataskaitoje pažymima, kad norint išvengti neigimų pasekmių ateityje yra būtina imtis </w:t>
      </w:r>
      <w:r w:rsidRPr="001A05B1">
        <w:t>socialinės atskirties mažinim</w:t>
      </w:r>
      <w:r>
        <w:t xml:space="preserve">o priemonių – </w:t>
      </w:r>
      <w:r w:rsidRPr="001A05B1">
        <w:t xml:space="preserve"> vyst</w:t>
      </w:r>
      <w:r>
        <w:t xml:space="preserve">yti centrinės ir </w:t>
      </w:r>
      <w:r w:rsidRPr="001A05B1">
        <w:t xml:space="preserve"> pietinės miesto dalies infrastruktūrą, pritraukiant ten privačias investicijas bei </w:t>
      </w:r>
      <w:r>
        <w:t>aukštesnes pajamas turinčius</w:t>
      </w:r>
      <w:r w:rsidRPr="001A05B1">
        <w:t xml:space="preserve"> gyventojus.  </w:t>
      </w:r>
    </w:p>
    <w:p w:rsidR="00913AFD" w:rsidRDefault="00913AFD" w:rsidP="00913AFD">
      <w:pPr>
        <w:ind w:firstLine="709"/>
        <w:jc w:val="both"/>
      </w:pPr>
      <w:r>
        <w:t>Siekiant regeneruoti miesto centrinę ir pietinę dalis, planuojama dirbti keliomis kryptimis:</w:t>
      </w:r>
    </w:p>
    <w:p w:rsidR="00913AFD" w:rsidRPr="007E2AA9" w:rsidRDefault="00913AFD" w:rsidP="00913AFD">
      <w:pPr>
        <w:ind w:firstLine="709"/>
        <w:jc w:val="both"/>
      </w:pPr>
      <w:r>
        <w:t xml:space="preserve">1) Bus įgyvendinami ES lėšomis finansuojami projektai. </w:t>
      </w:r>
      <w:r w:rsidRPr="005369F7">
        <w:t xml:space="preserve">2014–2020 m. ES finansinės </w:t>
      </w:r>
      <w:r>
        <w:t>paramos panaudojimo laikotarpiu Klaipėda, kaip ir kiti didieji Lietuvos miestai, įgyvendins integruotos teritorijos vystymo programą</w:t>
      </w:r>
      <w:r w:rsidRPr="005369F7">
        <w:t>.</w:t>
      </w:r>
      <w:r>
        <w:t xml:space="preserve"> Klaipėdoje tiksline pasirinkta teritorija </w:t>
      </w:r>
      <w:r w:rsidRPr="001A05B1">
        <w:t xml:space="preserve">tarp Taikos pr., Galinio Pylimo g.,  Aukštosios g., Turgaus g., Tiltų g., Danės g., Mokyklos g., Šilutės </w:t>
      </w:r>
      <w:proofErr w:type="spellStart"/>
      <w:r w:rsidRPr="001A05B1">
        <w:t>pl</w:t>
      </w:r>
      <w:proofErr w:type="spellEnd"/>
      <w:r w:rsidRPr="001A05B1">
        <w:t>., Kauno g</w:t>
      </w:r>
      <w:r>
        <w:t>., Dubysos g. Ši erdvė apima centrinę ir arčiau centro esančią pietinę miesto dalis. Tikslinėje teritorijoje</w:t>
      </w:r>
      <w:r w:rsidRPr="005369F7">
        <w:rPr>
          <w:rFonts w:eastAsia="+mj-ea"/>
          <w:kern w:val="24"/>
        </w:rPr>
        <w:t xml:space="preserve"> planuojama įgyvendinti projektus, </w:t>
      </w:r>
      <w:r>
        <w:rPr>
          <w:rFonts w:eastAsia="+mj-ea"/>
          <w:kern w:val="24"/>
        </w:rPr>
        <w:t>kurie turėtų didinti patrauklumą verslui ir gyventojams</w:t>
      </w:r>
      <w:r w:rsidRPr="005369F7">
        <w:rPr>
          <w:rFonts w:eastAsia="+mj-ea"/>
          <w:kern w:val="24"/>
        </w:rPr>
        <w:t>:</w:t>
      </w:r>
      <w:r>
        <w:rPr>
          <w:rFonts w:eastAsia="+mj-ea"/>
          <w:kern w:val="24"/>
        </w:rPr>
        <w:t xml:space="preserve"> pastatyti naują FINA standartus atitinkantį 50 m. plaukimo baseiną,</w:t>
      </w:r>
      <w:r w:rsidRPr="005369F7">
        <w:rPr>
          <w:rFonts w:eastAsia="+mj-ea"/>
          <w:kern w:val="24"/>
        </w:rPr>
        <w:t xml:space="preserve"> įrengti naują tiltą per Danės upę</w:t>
      </w:r>
      <w:r>
        <w:rPr>
          <w:rFonts w:eastAsia="+mj-ea"/>
          <w:kern w:val="24"/>
        </w:rPr>
        <w:t xml:space="preserve"> ir nutiesti Bastionų g.</w:t>
      </w:r>
      <w:r w:rsidRPr="005369F7">
        <w:rPr>
          <w:rFonts w:eastAsia="+mj-ea"/>
          <w:kern w:val="24"/>
        </w:rPr>
        <w:t>, sutvarkyti Danės upės krantines nuo Biržos tilto iki Mokyklos g. tilto, rekonstruoti futbolo sporto mokyklos pastatus Paryžiaus Komunos g. 16A į modernų sporto centrą, regeneruoti viešąsias erdves</w:t>
      </w:r>
      <w:r>
        <w:rPr>
          <w:rFonts w:eastAsia="+mj-ea"/>
          <w:kern w:val="24"/>
        </w:rPr>
        <w:t xml:space="preserve"> (Atgimimo aikštę, aikštę prie buvusio „Vaidilos“ kino teatro ir t. t.)</w:t>
      </w:r>
      <w:r w:rsidRPr="005369F7">
        <w:rPr>
          <w:rFonts w:eastAsia="+mj-ea"/>
          <w:kern w:val="24"/>
        </w:rPr>
        <w:t xml:space="preserve"> ir gyvenamųjų namų kiemus</w:t>
      </w:r>
      <w:r>
        <w:rPr>
          <w:rFonts w:eastAsia="+mj-ea"/>
          <w:kern w:val="24"/>
        </w:rPr>
        <w:t xml:space="preserve"> ir kt</w:t>
      </w:r>
      <w:r w:rsidRPr="005369F7">
        <w:rPr>
          <w:rFonts w:eastAsia="+mj-ea"/>
          <w:kern w:val="24"/>
        </w:rPr>
        <w:t>.</w:t>
      </w:r>
      <w:r>
        <w:rPr>
          <w:rFonts w:eastAsia="+mj-ea"/>
          <w:kern w:val="24"/>
        </w:rPr>
        <w:t xml:space="preserve">  </w:t>
      </w:r>
    </w:p>
    <w:p w:rsidR="00913AFD" w:rsidRDefault="00913AFD" w:rsidP="00913AFD">
      <w:pPr>
        <w:ind w:firstLine="709"/>
        <w:jc w:val="both"/>
      </w:pPr>
      <w:r>
        <w:lastRenderedPageBreak/>
        <w:t xml:space="preserve">2) Bus atnaujinamos viešosios erdvės iš savivaldybės biudžeto lėšų ir kitų finansavimo šaltinių, kuriais disponuoja savivalda. </w:t>
      </w:r>
      <w:r w:rsidRPr="005369F7">
        <w:t>201</w:t>
      </w:r>
      <w:r>
        <w:t xml:space="preserve">5–2016 </w:t>
      </w:r>
      <w:r w:rsidRPr="005369F7">
        <w:t>m. pla</w:t>
      </w:r>
      <w:r>
        <w:t>nuojama sutvarkyti</w:t>
      </w:r>
      <w:r w:rsidRPr="005369F7">
        <w:t xml:space="preserve"> Debreceno gyvenamojo kvartalo centrinę aikštę</w:t>
      </w:r>
      <w:r>
        <w:t xml:space="preserve"> (2014 m. parengtas aikštės sutvarkymo projektas)</w:t>
      </w:r>
      <w:r w:rsidRPr="005369F7">
        <w:t>, 201</w:t>
      </w:r>
      <w:r>
        <w:t>7</w:t>
      </w:r>
      <w:r w:rsidRPr="005369F7">
        <w:t xml:space="preserve"> m. – Pempininkų gyvenamojo kvartalo</w:t>
      </w:r>
      <w:r>
        <w:t xml:space="preserve"> </w:t>
      </w:r>
      <w:r w:rsidRPr="005369F7">
        <w:t>centrinę aikštę.</w:t>
      </w:r>
    </w:p>
    <w:p w:rsidR="00913AFD" w:rsidRPr="005369F7" w:rsidRDefault="00913AFD" w:rsidP="00913AFD">
      <w:pPr>
        <w:ind w:firstLine="709"/>
        <w:jc w:val="both"/>
      </w:pPr>
      <w:r>
        <w:t xml:space="preserve">3) Bus ieškoma galimybių įgyvendinti anksčiau parengtus techninius parkų įrengimo pietinėje miesto dalyje projektus – Sąjūdžio parko tolimesnės plėtros bei naujo parko prie </w:t>
      </w:r>
      <w:proofErr w:type="spellStart"/>
      <w:r>
        <w:t>Smeltalės</w:t>
      </w:r>
      <w:proofErr w:type="spellEnd"/>
      <w:r>
        <w:t xml:space="preserve"> upelio įkūrimo. </w:t>
      </w:r>
    </w:p>
    <w:p w:rsidR="00913AFD" w:rsidRPr="005369F7" w:rsidRDefault="00913AFD" w:rsidP="00913AFD">
      <w:pPr>
        <w:ind w:firstLine="709"/>
        <w:jc w:val="both"/>
      </w:pPr>
    </w:p>
    <w:p w:rsidR="00913AFD" w:rsidRPr="005369F7" w:rsidRDefault="00913AFD" w:rsidP="00913AFD">
      <w:pPr>
        <w:ind w:firstLine="709"/>
        <w:jc w:val="both"/>
        <w:rPr>
          <w:b/>
        </w:rPr>
      </w:pPr>
      <w:r w:rsidRPr="005369F7">
        <w:rPr>
          <w:b/>
          <w:color w:val="002060"/>
        </w:rPr>
        <w:t>2</w:t>
      </w:r>
      <w:r w:rsidRPr="005369F7">
        <w:rPr>
          <w:b/>
        </w:rPr>
        <w:t>.</w:t>
      </w:r>
      <w:r>
        <w:rPr>
          <w:b/>
        </w:rPr>
        <w:t xml:space="preserve">2. Aplinkos taršos </w:t>
      </w:r>
      <w:proofErr w:type="spellStart"/>
      <w:r>
        <w:rPr>
          <w:b/>
        </w:rPr>
        <w:t>stebėsena</w:t>
      </w:r>
      <w:proofErr w:type="spellEnd"/>
      <w:r>
        <w:rPr>
          <w:b/>
        </w:rPr>
        <w:t xml:space="preserve"> ir</w:t>
      </w:r>
      <w:r w:rsidRPr="005369F7">
        <w:rPr>
          <w:b/>
        </w:rPr>
        <w:t xml:space="preserve"> mažinimas.</w:t>
      </w:r>
    </w:p>
    <w:p w:rsidR="00913AFD" w:rsidRPr="005369F7" w:rsidRDefault="00913AFD" w:rsidP="00913AFD">
      <w:pPr>
        <w:ind w:firstLine="709"/>
        <w:jc w:val="both"/>
      </w:pPr>
      <w:r w:rsidRPr="005369F7">
        <w:t xml:space="preserve">Nuo 2005 m. yra vykdomas Klaipėdos miesto savivaldybės aplinkos monitoringas. Pagal 2012 m. Klaipėdos miesto savivaldybės tarybos patvirtintą 2012–2016 m. Klaipėdos miesto savivaldybės aplinkos monitoringo programą toliau bus tęsiami triukšmo matavimai 40 taškų, oro taršos tyrimai 23 taškuose, hidrologiniai, </w:t>
      </w:r>
      <w:proofErr w:type="spellStart"/>
      <w:r w:rsidRPr="005369F7">
        <w:t>hidrogeocheminiai</w:t>
      </w:r>
      <w:proofErr w:type="spellEnd"/>
      <w:r w:rsidRPr="005369F7">
        <w:t xml:space="preserve"> ir hidrobiologiniai tyrimai 10 paviršinio vandens telkinių, dirvožemio, biologinės įvairovės ir maudyklų tyrimai.</w:t>
      </w:r>
    </w:p>
    <w:p w:rsidR="00913AFD" w:rsidRPr="00E426A3" w:rsidRDefault="00913AFD" w:rsidP="00913AFD">
      <w:pPr>
        <w:ind w:firstLine="709"/>
        <w:jc w:val="both"/>
        <w:rPr>
          <w:color w:val="FF0000"/>
        </w:rPr>
      </w:pPr>
      <w:r w:rsidRPr="003D7520">
        <w:t xml:space="preserve">Klaipėdos mieste oro kokybė bus vertinama pagal oro taršos tyrimų duomenis stacionariose aplinkos oro kokybės matavimo stotyse, esančiose Bangų g. 7 ir Baltijos pr. 1.  2013 m. oro kokybės matavimo stotyse užfiksuoti duomenys rodė, kad per metus buvo atitinkamai 25 ir 35 dienų, kai buvo viršijamos ribinės teršalų (KD10) vertės (maksimalus leistinas skaičius – 35 dienos). </w:t>
      </w:r>
      <w:r w:rsidRPr="00E426A3">
        <w:t>Didžiausia oro tarša Klaipėdos mieste yra ne iš stacionarių šaltinių, o iš autotransporto priemonių. Dėl to siekiama, kad kuo daugiau miesto ir priemiesčių gyventojų naudotųsi viešuoju transportu – investuojama į paslaugų kokybę, tobulinama e. bilieto sistema, atnaujinamas autobusų parkas, bendradarbiaujant su kitomis savivaldybėmis, integruojami maršrutai ir t. t. 2015 m. šiaurinėje miesto dalyje bus toliau plėtojama principu „</w:t>
      </w:r>
      <w:r w:rsidRPr="00E426A3">
        <w:rPr>
          <w:rFonts w:eastAsiaTheme="minorHAnsi"/>
          <w:bCs/>
        </w:rPr>
        <w:t>Palik automobilį ir važiuok viešuoju transportu</w:t>
      </w:r>
      <w:r w:rsidRPr="00E426A3">
        <w:t>“ (angl. „PARK&amp;RIDE“) veikianti sistema. 2014 m. įrengta automobilių laikymo aikštelė, kurioje iš užmiesčio ar priemiesčių individualiais automobiliais atvykstantys žmonės gali palikti savo transporto priemones ir toliau važiuoti miesto transportu, 2015</w:t>
      </w:r>
      <w:r>
        <w:t>–</w:t>
      </w:r>
      <w:r w:rsidRPr="00E426A3">
        <w:t>2016 m. bus kuriama kita infrastruktūra: keleivių laukimo paviljonas, įrengti elektromobilių greito įkrovimo įrenginiai.</w:t>
      </w:r>
    </w:p>
    <w:p w:rsidR="00913AFD" w:rsidRPr="00421172" w:rsidRDefault="00913AFD" w:rsidP="00913AFD">
      <w:pPr>
        <w:tabs>
          <w:tab w:val="left" w:pos="709"/>
        </w:tabs>
        <w:ind w:firstLine="709"/>
        <w:jc w:val="both"/>
      </w:pPr>
      <w:r w:rsidRPr="00421172">
        <w:t xml:space="preserve">Aplinkos kokybei didelės įtakos turi želdynai. Dėl to siekiama išsaugoti parkų ir skverų tinklą, prižiūrėti esamus, formuoti naujus želdynus, suteikti želdynams juridinį statusą (t. y. parengti žemės sklypų ribų planus, įregistruoti Nekilnojamojo turto kadastre).  Klaipėdoje 1 gyventojui tenka apie 10,5 m² (neįskaičiuojant Smiltynės ir Girulių miškų) rekreacinės paskirties želdynų, o vadovaujantis Aplinkos ministerijos nustatytomis normomis turėtų būti 25 m². Želdynai Klaipėdos mieste pasiskirstę netolygiai – didžiausias susitelkimas yra šiaurinėje miesto dalyje, o pietinėje miesto dalyje želdynų trūksta. </w:t>
      </w:r>
    </w:p>
    <w:p w:rsidR="00913AFD" w:rsidRPr="005369F7" w:rsidRDefault="00913AFD" w:rsidP="00913AFD">
      <w:pPr>
        <w:ind w:firstLine="709"/>
        <w:jc w:val="both"/>
      </w:pPr>
      <w:r w:rsidRPr="005369F7">
        <w:t xml:space="preserve">Atliekų tvarkymo srityje </w:t>
      </w:r>
      <w:r>
        <w:t>bus tęsiamas</w:t>
      </w:r>
      <w:r w:rsidRPr="005369F7">
        <w:t xml:space="preserve"> požeminių ir pusiau požeminių konteinerių įrengim</w:t>
      </w:r>
      <w:r>
        <w:t>as</w:t>
      </w:r>
      <w:r w:rsidRPr="005369F7">
        <w:t xml:space="preserve"> gyvenamųjų daugiabučių namų kiemuose</w:t>
      </w:r>
      <w:r>
        <w:t>.</w:t>
      </w:r>
    </w:p>
    <w:p w:rsidR="00913AFD" w:rsidRPr="005369F7" w:rsidRDefault="00913AFD" w:rsidP="00913AFD">
      <w:pPr>
        <w:ind w:firstLine="709"/>
        <w:jc w:val="both"/>
      </w:pPr>
    </w:p>
    <w:p w:rsidR="00913AFD" w:rsidRPr="005369F7" w:rsidRDefault="00913AFD" w:rsidP="00913AFD">
      <w:pPr>
        <w:ind w:firstLine="709"/>
        <w:rPr>
          <w:b/>
        </w:rPr>
      </w:pPr>
      <w:r w:rsidRPr="005369F7">
        <w:rPr>
          <w:b/>
        </w:rPr>
        <w:t>2.3. Energijos taupymas.</w:t>
      </w:r>
    </w:p>
    <w:p w:rsidR="00913AFD" w:rsidRPr="005369F7" w:rsidRDefault="00913AFD" w:rsidP="00913AFD">
      <w:pPr>
        <w:ind w:firstLine="709"/>
        <w:jc w:val="both"/>
      </w:pPr>
      <w:r w:rsidRPr="005369F7">
        <w:t xml:space="preserve">Siekiant taupyti energiją, </w:t>
      </w:r>
      <w:r>
        <w:t xml:space="preserve">2015 </w:t>
      </w:r>
      <w:r w:rsidRPr="005369F7">
        <w:t xml:space="preserve">m. bus </w:t>
      </w:r>
      <w:r>
        <w:t>vykdomi pasirengimo</w:t>
      </w:r>
      <w:r w:rsidRPr="005369F7">
        <w:t xml:space="preserve"> savivaldybės biudžetinių įstaigų pastatų renovacija</w:t>
      </w:r>
      <w:r>
        <w:t>i darbai –</w:t>
      </w:r>
      <w:r w:rsidRPr="005369F7">
        <w:t xml:space="preserve"> rengiami pastatų, kurie bus renovuojami iki 2020 m., energetinio audito dokumentai</w:t>
      </w:r>
      <w:r>
        <w:t>, techniniai projektai</w:t>
      </w:r>
      <w:r w:rsidRPr="005369F7">
        <w:t xml:space="preserve">. </w:t>
      </w:r>
    </w:p>
    <w:p w:rsidR="00913AFD" w:rsidRPr="005369F7" w:rsidRDefault="00913AFD" w:rsidP="00913AFD">
      <w:pPr>
        <w:ind w:firstLine="709"/>
        <w:jc w:val="both"/>
      </w:pPr>
      <w:r w:rsidRPr="005369F7">
        <w:t xml:space="preserve">Rinkoje augant iškastinio kuro kainoms,  brangsta elektros energija. Miestas kasmet išleidžia apie 3 mln. Lt įsigydamas elektros energiją gatvių ir viešųjų erdvių apšvietimui ir ši suma turi tendenciją augti. </w:t>
      </w:r>
      <w:r w:rsidRPr="002E5B11">
        <w:t xml:space="preserve">2014 m. duomenimis, vienas šviestuvas vidutiniškai sunaudoja 559 </w:t>
      </w:r>
      <w:proofErr w:type="spellStart"/>
      <w:r w:rsidRPr="002E5B11">
        <w:t>KWh</w:t>
      </w:r>
      <w:proofErr w:type="spellEnd"/>
      <w:r w:rsidRPr="002E5B11">
        <w:t xml:space="preserve"> per metus. Siekiant sumažinti energijos suvartojimą, numatoma atlikti analizę ir investuoti į gatvių apšvietimo reguliatorius </w:t>
      </w:r>
      <w:r w:rsidRPr="005369F7">
        <w:t xml:space="preserve">– UAB „Gatvių apšvietimas“ skaičiavimais, investicija į reguliatorius atsipirktų maždaug per 4–5 metus.   </w:t>
      </w:r>
    </w:p>
    <w:p w:rsidR="00913AFD" w:rsidRPr="00353886" w:rsidRDefault="00913AFD" w:rsidP="00913AFD">
      <w:pPr>
        <w:ind w:firstLine="709"/>
        <w:jc w:val="both"/>
        <w:rPr>
          <w:color w:val="FF0000"/>
        </w:rPr>
      </w:pPr>
      <w:r w:rsidRPr="004C5D42">
        <w:t xml:space="preserve">Miesto energetikos ūkyje siekiama didinti atsinaujinančio kuro dalį centrinio šildymo sistemoje (šiuo metu ji sudaro apie 50 </w:t>
      </w:r>
      <w:r w:rsidRPr="000971DE">
        <w:t xml:space="preserve">proc.): numatoma rekonstruoti AB „Klaipėdos energija“ Klaipėdos rajoninę katilinę, įrengiant naują biokuro katilą su kondensaciniu </w:t>
      </w:r>
      <w:proofErr w:type="spellStart"/>
      <w:r w:rsidRPr="000971DE">
        <w:t>ekonomaizeriu</w:t>
      </w:r>
      <w:proofErr w:type="spellEnd"/>
      <w:r w:rsidRPr="000971DE">
        <w:t>. Siekdama sumažinti šilumos nuostolius, AB „Klaipėdos energija</w:t>
      </w:r>
      <w:r w:rsidRPr="004C5D42">
        <w:t xml:space="preserve">“ numato kasmet rekonstruoti ne </w:t>
      </w:r>
      <w:r w:rsidRPr="004C5D42">
        <w:lastRenderedPageBreak/>
        <w:t>mažiau kaip po 5 km termofikacinių šilumos tiekimo tinklų, panaudodama poliuretano izoliacija izoliuotus vamzdynus.</w:t>
      </w:r>
    </w:p>
    <w:p w:rsidR="00913AFD" w:rsidRPr="005369F7" w:rsidRDefault="00913AFD" w:rsidP="00913AFD">
      <w:pPr>
        <w:ind w:firstLine="709"/>
        <w:jc w:val="both"/>
      </w:pPr>
    </w:p>
    <w:p w:rsidR="00913AFD" w:rsidRPr="005369F7" w:rsidRDefault="00913AFD" w:rsidP="00913AFD">
      <w:pPr>
        <w:ind w:firstLine="709"/>
        <w:jc w:val="both"/>
        <w:rPr>
          <w:b/>
        </w:rPr>
      </w:pPr>
      <w:r w:rsidRPr="005369F7">
        <w:rPr>
          <w:b/>
        </w:rPr>
        <w:t>2.4. Daugiabučių namų ir jų aplinkos tvarkymo skatinimas.</w:t>
      </w:r>
    </w:p>
    <w:p w:rsidR="00913AFD" w:rsidRPr="005369F7" w:rsidRDefault="00913AFD" w:rsidP="00913AFD">
      <w:pPr>
        <w:ind w:firstLine="709"/>
        <w:jc w:val="both"/>
      </w:pPr>
      <w:r w:rsidRPr="005369F7">
        <w:t>2014–2020 metų ES finansinės paramos panaudojimo laikotarpiu valstybės institucijos numato suaktyvinti daugiabučių namų renovacijos procesus. Ši problema labai aktuali Klaipėdos miesto savivaldybei, kadangi didžioji dauguma miesto daugiabučių namų yra pastatyti iki 1991 m. ir yra energetiškai neefektyvūs.</w:t>
      </w:r>
      <w:r w:rsidRPr="005369F7">
        <w:rPr>
          <w:b/>
        </w:rPr>
        <w:t xml:space="preserve"> </w:t>
      </w:r>
      <w:r w:rsidRPr="005369F7">
        <w:t xml:space="preserve">Savivaldybės vaidmuo daugiabučių namų renovacijos procese nėra tiesioginis, tačiau numatoma vykdyti informacijos apie daugiabučių namų renovavimo galimybes sklaidą, skatinti gyventojus renovuoti būstą. </w:t>
      </w:r>
    </w:p>
    <w:p w:rsidR="00913AFD" w:rsidRPr="005369F7" w:rsidRDefault="00913AFD" w:rsidP="00913AFD">
      <w:pPr>
        <w:ind w:firstLine="709"/>
        <w:jc w:val="both"/>
        <w:rPr>
          <w:b/>
        </w:rPr>
      </w:pPr>
      <w:r w:rsidRPr="005369F7">
        <w:t>201</w:t>
      </w:r>
      <w:r>
        <w:t>5</w:t>
      </w:r>
      <w:r w:rsidRPr="005369F7">
        <w:t xml:space="preserve">–2020 m. vykdant tikslinės teritorijos, t. y. kvartalo </w:t>
      </w:r>
      <w:r w:rsidRPr="005369F7">
        <w:rPr>
          <w:rFonts w:eastAsia="+mj-ea"/>
          <w:kern w:val="24"/>
        </w:rPr>
        <w:t xml:space="preserve">tarp Taikos pr., Galinio Pylimo g.,  Aukštosios g., Turgaus g., Tiltų g., Danės g., Mokyklos g., Šilutės </w:t>
      </w:r>
      <w:proofErr w:type="spellStart"/>
      <w:r w:rsidRPr="005369F7">
        <w:rPr>
          <w:rFonts w:eastAsia="+mj-ea"/>
          <w:kern w:val="24"/>
        </w:rPr>
        <w:t>pl</w:t>
      </w:r>
      <w:proofErr w:type="spellEnd"/>
      <w:r w:rsidRPr="005369F7">
        <w:rPr>
          <w:rFonts w:eastAsia="+mj-ea"/>
          <w:kern w:val="24"/>
        </w:rPr>
        <w:t>.</w:t>
      </w:r>
      <w:r>
        <w:rPr>
          <w:rFonts w:eastAsia="+mj-ea"/>
          <w:kern w:val="24"/>
        </w:rPr>
        <w:t xml:space="preserve"> ir</w:t>
      </w:r>
      <w:r w:rsidRPr="005369F7">
        <w:rPr>
          <w:rFonts w:eastAsia="+mj-ea"/>
          <w:kern w:val="24"/>
        </w:rPr>
        <w:t xml:space="preserve"> Kauno g., regeneravimo darbus, bus tvarkomi daugiabučių namų kiemai, poilsio infrastruktūra, želdiniai. Pirmiau ketinama tvarkyti renovuotų ar renovuojamų daugiabučių namų kiemus.</w:t>
      </w:r>
    </w:p>
    <w:p w:rsidR="00913AFD" w:rsidRPr="005369F7" w:rsidRDefault="00913AFD" w:rsidP="00913AFD">
      <w:pPr>
        <w:ind w:firstLine="709"/>
        <w:jc w:val="both"/>
        <w:rPr>
          <w:lang w:eastAsia="lt-LT"/>
        </w:rPr>
      </w:pPr>
      <w:r w:rsidRPr="005369F7">
        <w:t xml:space="preserve">Klaipėdos miesto savivaldybė siekia didinti gyventojų atsakomybę už viešųjų erdvių tvarkymą – daugiabučių namų butų savininkams siūloma tapti ir sklypo prie daugiabučio namo bendraturčiais. </w:t>
      </w:r>
      <w:r w:rsidRPr="005369F7">
        <w:rPr>
          <w:lang w:eastAsia="lt-LT"/>
        </w:rPr>
        <w:t>Įsiteisinę sklypą prie namo gyventojai įgaus teisę patys tvarkyti kiemą, įrengti papildomas automobilių stovėjimo, vaikų žaidimo aikšteles, ramaus poilsio ar sporto zonas. Atsiras prievolė patiems valyti kiemą, tačiau kartu atsiras galimybė pastatyti užkardą prie įvažiavimo į kiemą, siekiant išvengti svetimų automobilių statymo jų kieme.</w:t>
      </w:r>
    </w:p>
    <w:p w:rsidR="00913AFD" w:rsidRPr="005369F7" w:rsidRDefault="00913AFD" w:rsidP="00913AFD">
      <w:pPr>
        <w:jc w:val="both"/>
        <w:rPr>
          <w:b/>
        </w:rPr>
      </w:pPr>
    </w:p>
    <w:p w:rsidR="00913AFD" w:rsidRPr="005369F7" w:rsidRDefault="00913AFD" w:rsidP="00913AFD">
      <w:pPr>
        <w:ind w:firstLine="709"/>
        <w:jc w:val="both"/>
        <w:rPr>
          <w:b/>
        </w:rPr>
      </w:pPr>
      <w:r w:rsidRPr="005369F7">
        <w:rPr>
          <w:b/>
        </w:rPr>
        <w:t>2.5. Viešosios tvarkos ir saugumo užtikrinimas.</w:t>
      </w:r>
    </w:p>
    <w:p w:rsidR="00913AFD" w:rsidRPr="005369F7" w:rsidRDefault="00913AFD" w:rsidP="00913AFD">
      <w:pPr>
        <w:ind w:firstLine="709"/>
        <w:jc w:val="both"/>
      </w:pPr>
      <w:r w:rsidRPr="005369F7">
        <w:t xml:space="preserve">Siekiant užtikrinti viešąją tvarką ir saugumą, pastaraisiais metais buvo stiprinimas Savivaldybės administracijos Viešosios tvarkos skyrius, kuris kontroliuoja, kaip fiziniai ir juridiniai asmenys laikosi valstybės ir savivaldybės teisės aktais patvirtintų tvarkų ir taisyklių. Tai davė teigiamų rezultatų – pagerėjo rinkliavos už automobilių statymą </w:t>
      </w:r>
      <w:proofErr w:type="spellStart"/>
      <w:r w:rsidRPr="005369F7">
        <w:t>surenkamumas</w:t>
      </w:r>
      <w:proofErr w:type="spellEnd"/>
      <w:r w:rsidRPr="005369F7">
        <w:t xml:space="preserve">, mieste sumažėjo nelegalios reklamos. </w:t>
      </w:r>
    </w:p>
    <w:p w:rsidR="00913AFD" w:rsidRDefault="00913AFD" w:rsidP="00913AFD">
      <w:pPr>
        <w:ind w:firstLine="709"/>
        <w:jc w:val="both"/>
      </w:pPr>
      <w:r w:rsidRPr="005369F7">
        <w:t>20</w:t>
      </w:r>
      <w:r>
        <w:t>15</w:t>
      </w:r>
      <w:r w:rsidRPr="005369F7">
        <w:t xml:space="preserve">–2016 m. bus toliau palaikoma integruoto stebėjimo sistema viešose vietose. </w:t>
      </w:r>
      <w:r>
        <w:t xml:space="preserve">Stebėjimo kameromis kasmet užfiksuojama nuo 1400 iki 3000 viešosios tvarkos ir kitų pažeidimų. </w:t>
      </w:r>
      <w:r w:rsidRPr="005369F7">
        <w:t>201</w:t>
      </w:r>
      <w:r>
        <w:t>4</w:t>
      </w:r>
      <w:r w:rsidRPr="005369F7">
        <w:t xml:space="preserve"> m. </w:t>
      </w:r>
      <w:r>
        <w:t xml:space="preserve">įrengtos 6 papildomos kameros (piliavietės ir Vasaros estrados teritorijose). Iš viso </w:t>
      </w:r>
      <w:r w:rsidRPr="005369F7">
        <w:t xml:space="preserve">įvairiose miesto vietose eksploatuojamos </w:t>
      </w:r>
      <w:r>
        <w:t>65</w:t>
      </w:r>
      <w:r w:rsidRPr="005369F7">
        <w:t xml:space="preserve"> kameros, kuriomis visą parą filmuojamos nesaugios miesto dalys, turistų ir miesto gyventojų gausiai lankomų vietų vaizdas perduodamas į stebėjimo punktą, veikiantį Vyriausiojo policijos komisariato patalpose.</w:t>
      </w:r>
      <w:r>
        <w:t xml:space="preserve"> Atsižvelgus į Vyriausiojo policijos komisariato siūlymus, 2015 metais planuojama perkelti keletą kamerų į vietas, kurios yra nepakankamai saugios ir jas reikėtų stebėti (pietinėje bei centrinėje miesto dalyse).</w:t>
      </w:r>
    </w:p>
    <w:p w:rsidR="00913AFD" w:rsidRPr="002E6117" w:rsidRDefault="00913AFD" w:rsidP="00913AFD">
      <w:pPr>
        <w:autoSpaceDE w:val="0"/>
        <w:autoSpaceDN w:val="0"/>
        <w:adjustRightInd w:val="0"/>
        <w:ind w:firstLine="709"/>
        <w:jc w:val="both"/>
        <w:rPr>
          <w:rFonts w:eastAsia="NotDefSpecial"/>
        </w:rPr>
      </w:pPr>
      <w:r w:rsidRPr="002E6117">
        <w:rPr>
          <w:rFonts w:eastAsia="NotDefSpecial"/>
        </w:rPr>
        <w:t>2014 m.  Klaip</w:t>
      </w:r>
      <w:r>
        <w:rPr>
          <w:rFonts w:eastAsia="NotDefSpecial"/>
        </w:rPr>
        <w:t>ė</w:t>
      </w:r>
      <w:r w:rsidRPr="002E6117">
        <w:rPr>
          <w:rFonts w:eastAsia="NotDefSpecial"/>
        </w:rPr>
        <w:t>dos mieste veikė trys greičio matavimo prietaisai, kuriais iki 2014 metų rugs</w:t>
      </w:r>
      <w:r>
        <w:rPr>
          <w:rFonts w:eastAsia="NotDefSpecial"/>
        </w:rPr>
        <w:t>ė</w:t>
      </w:r>
      <w:r w:rsidRPr="002E6117">
        <w:rPr>
          <w:rFonts w:eastAsia="NotDefSpecial"/>
        </w:rPr>
        <w:t>jo m</w:t>
      </w:r>
      <w:r>
        <w:rPr>
          <w:rFonts w:eastAsia="NotDefSpecial"/>
        </w:rPr>
        <w:t>ė</w:t>
      </w:r>
      <w:r w:rsidRPr="002E6117">
        <w:rPr>
          <w:rFonts w:eastAsia="NotDefSpecial"/>
        </w:rPr>
        <w:t>n. u</w:t>
      </w:r>
      <w:r>
        <w:rPr>
          <w:rFonts w:eastAsia="NotDefSpecial"/>
        </w:rPr>
        <w:t>žfiksuoti 1349 l</w:t>
      </w:r>
      <w:r w:rsidRPr="002E6117">
        <w:rPr>
          <w:rFonts w:eastAsia="NotDefSpecial"/>
        </w:rPr>
        <w:t>eistino grei</w:t>
      </w:r>
      <w:r>
        <w:rPr>
          <w:rFonts w:eastAsia="NotDefSpecial"/>
        </w:rPr>
        <w:t>č</w:t>
      </w:r>
      <w:r w:rsidRPr="002E6117">
        <w:rPr>
          <w:rFonts w:eastAsia="NotDefSpecial"/>
        </w:rPr>
        <w:t>io vir</w:t>
      </w:r>
      <w:r>
        <w:rPr>
          <w:rFonts w:eastAsia="NotDefSpecial"/>
        </w:rPr>
        <w:t>š</w:t>
      </w:r>
      <w:r w:rsidRPr="002E6117">
        <w:rPr>
          <w:rFonts w:eastAsia="NotDefSpecial"/>
        </w:rPr>
        <w:t>ijimo atvejai</w:t>
      </w:r>
      <w:r>
        <w:rPr>
          <w:rFonts w:eastAsia="NotDefSpecial"/>
        </w:rPr>
        <w:t xml:space="preserve"> (per </w:t>
      </w:r>
      <w:r w:rsidRPr="002E6117">
        <w:rPr>
          <w:rFonts w:eastAsia="NotDefSpecial"/>
        </w:rPr>
        <w:t xml:space="preserve">2013 </w:t>
      </w:r>
      <w:r>
        <w:rPr>
          <w:rFonts w:eastAsia="NotDefSpecial"/>
        </w:rPr>
        <w:t>m. –</w:t>
      </w:r>
      <w:r w:rsidRPr="002E6117">
        <w:rPr>
          <w:rFonts w:eastAsia="NotDefSpecial"/>
        </w:rPr>
        <w:t xml:space="preserve"> 1281,</w:t>
      </w:r>
      <w:r>
        <w:rPr>
          <w:rFonts w:eastAsia="NotDefSpecial"/>
        </w:rPr>
        <w:t xml:space="preserve"> per </w:t>
      </w:r>
      <w:r w:rsidRPr="002E6117">
        <w:rPr>
          <w:rFonts w:eastAsia="NotDefSpecial"/>
        </w:rPr>
        <w:t>2012</w:t>
      </w:r>
      <w:r>
        <w:rPr>
          <w:rFonts w:eastAsia="NotDefSpecial"/>
        </w:rPr>
        <w:t xml:space="preserve"> </w:t>
      </w:r>
      <w:r w:rsidRPr="002E6117">
        <w:rPr>
          <w:rFonts w:eastAsia="NotDefSpecial"/>
        </w:rPr>
        <w:t>m</w:t>
      </w:r>
      <w:r>
        <w:rPr>
          <w:rFonts w:eastAsia="NotDefSpecial"/>
        </w:rPr>
        <w:t xml:space="preserve">. – </w:t>
      </w:r>
      <w:r w:rsidRPr="002E6117">
        <w:rPr>
          <w:rFonts w:eastAsia="NotDefSpecial"/>
        </w:rPr>
        <w:t>3286 leistino grei</w:t>
      </w:r>
      <w:r>
        <w:rPr>
          <w:rFonts w:eastAsia="NotDefSpecial"/>
        </w:rPr>
        <w:t>č</w:t>
      </w:r>
      <w:r w:rsidRPr="002E6117">
        <w:rPr>
          <w:rFonts w:eastAsia="NotDefSpecial"/>
        </w:rPr>
        <w:t>io vir</w:t>
      </w:r>
      <w:r>
        <w:rPr>
          <w:rFonts w:eastAsia="NotDefSpecial"/>
        </w:rPr>
        <w:t>š</w:t>
      </w:r>
      <w:r w:rsidRPr="002E6117">
        <w:rPr>
          <w:rFonts w:eastAsia="NotDefSpecial"/>
        </w:rPr>
        <w:t>ijimo atvejai</w:t>
      </w:r>
      <w:r>
        <w:rPr>
          <w:rFonts w:eastAsia="NotDefSpecial"/>
        </w:rPr>
        <w:t>)</w:t>
      </w:r>
      <w:r w:rsidRPr="002E6117">
        <w:rPr>
          <w:rFonts w:eastAsia="NotDefSpecial"/>
        </w:rPr>
        <w:t>. Padaug</w:t>
      </w:r>
      <w:r>
        <w:rPr>
          <w:rFonts w:eastAsia="NotDefSpecial"/>
        </w:rPr>
        <w:t>ė</w:t>
      </w:r>
      <w:r w:rsidRPr="002E6117">
        <w:rPr>
          <w:rFonts w:eastAsia="NotDefSpecial"/>
        </w:rPr>
        <w:t xml:space="preserve">jus eismo </w:t>
      </w:r>
      <w:r>
        <w:rPr>
          <w:rFonts w:eastAsia="NotDefSpecial"/>
        </w:rPr>
        <w:t>į</w:t>
      </w:r>
      <w:r w:rsidRPr="002E6117">
        <w:rPr>
          <w:rFonts w:eastAsia="NotDefSpecial"/>
        </w:rPr>
        <w:t>vyki</w:t>
      </w:r>
      <w:r>
        <w:rPr>
          <w:rFonts w:eastAsia="NotDefSpecial"/>
        </w:rPr>
        <w:t>ų</w:t>
      </w:r>
      <w:r w:rsidRPr="002E6117">
        <w:rPr>
          <w:rFonts w:eastAsia="NotDefSpecial"/>
        </w:rPr>
        <w:t xml:space="preserve"> Klaip</w:t>
      </w:r>
      <w:r>
        <w:rPr>
          <w:rFonts w:eastAsia="NotDefSpecial"/>
        </w:rPr>
        <w:t xml:space="preserve">ėdos mieste, </w:t>
      </w:r>
      <w:r w:rsidRPr="002E6117">
        <w:rPr>
          <w:rFonts w:eastAsia="NotDefSpecial"/>
        </w:rPr>
        <w:t>prevenci</w:t>
      </w:r>
      <w:r>
        <w:rPr>
          <w:rFonts w:eastAsia="NotDefSpecial"/>
        </w:rPr>
        <w:t>š</w:t>
      </w:r>
      <w:r w:rsidRPr="002E6117">
        <w:rPr>
          <w:rFonts w:eastAsia="NotDefSpecial"/>
        </w:rPr>
        <w:t>kai siekiant u</w:t>
      </w:r>
      <w:r>
        <w:rPr>
          <w:rFonts w:eastAsia="NotDefSpecial"/>
        </w:rPr>
        <w:t>ž</w:t>
      </w:r>
      <w:r w:rsidRPr="002E6117">
        <w:rPr>
          <w:rFonts w:eastAsia="NotDefSpecial"/>
        </w:rPr>
        <w:t>tikrinti saug</w:t>
      </w:r>
      <w:r>
        <w:rPr>
          <w:rFonts w:eastAsia="NotDefSpecial"/>
        </w:rPr>
        <w:t>ų</w:t>
      </w:r>
      <w:r w:rsidRPr="002E6117">
        <w:rPr>
          <w:rFonts w:eastAsia="NotDefSpecial"/>
        </w:rPr>
        <w:t xml:space="preserve"> eism</w:t>
      </w:r>
      <w:r>
        <w:rPr>
          <w:rFonts w:eastAsia="NotDefSpecial"/>
        </w:rPr>
        <w:t xml:space="preserve">ą, 2015 m. planuojama įrengti </w:t>
      </w:r>
      <w:r w:rsidRPr="002E6117">
        <w:rPr>
          <w:rFonts w:eastAsia="NotDefSpecial"/>
        </w:rPr>
        <w:t>papildomus 2 grei</w:t>
      </w:r>
      <w:r>
        <w:rPr>
          <w:rFonts w:eastAsia="NotDefSpecial"/>
        </w:rPr>
        <w:t xml:space="preserve">čio matuoklius </w:t>
      </w:r>
      <w:r w:rsidRPr="002E6117">
        <w:rPr>
          <w:rFonts w:eastAsia="NotDefSpecial"/>
        </w:rPr>
        <w:t>gatv</w:t>
      </w:r>
      <w:r>
        <w:rPr>
          <w:rFonts w:eastAsia="NotDefSpecial"/>
        </w:rPr>
        <w:t>ė</w:t>
      </w:r>
      <w:r w:rsidRPr="002E6117">
        <w:rPr>
          <w:rFonts w:eastAsia="NotDefSpecial"/>
        </w:rPr>
        <w:t>se</w:t>
      </w:r>
      <w:r>
        <w:rPr>
          <w:rFonts w:eastAsia="NotDefSpecial"/>
        </w:rPr>
        <w:t xml:space="preserve">, kur </w:t>
      </w:r>
      <w:r w:rsidRPr="002E6117">
        <w:rPr>
          <w:rFonts w:eastAsia="NotDefSpecial"/>
        </w:rPr>
        <w:t xml:space="preserve"> intensyv</w:t>
      </w:r>
      <w:r>
        <w:rPr>
          <w:rFonts w:eastAsia="NotDefSpecial"/>
        </w:rPr>
        <w:t>iausias</w:t>
      </w:r>
      <w:r w:rsidRPr="002E6117">
        <w:rPr>
          <w:rFonts w:eastAsia="NotDefSpecial"/>
        </w:rPr>
        <w:t xml:space="preserve"> automobili</w:t>
      </w:r>
      <w:r>
        <w:rPr>
          <w:rFonts w:eastAsia="NotDefSpecial"/>
        </w:rPr>
        <w:t>ų</w:t>
      </w:r>
      <w:r w:rsidRPr="002E6117">
        <w:rPr>
          <w:rFonts w:eastAsia="NotDefSpecial"/>
        </w:rPr>
        <w:t xml:space="preserve"> eismas</w:t>
      </w:r>
      <w:r>
        <w:rPr>
          <w:rFonts w:eastAsia="NotDefSpecial"/>
        </w:rPr>
        <w:t xml:space="preserve">, </w:t>
      </w:r>
      <w:r w:rsidRPr="002E6117">
        <w:rPr>
          <w:rFonts w:eastAsia="NotDefSpecial"/>
        </w:rPr>
        <w:t>da</w:t>
      </w:r>
      <w:r>
        <w:rPr>
          <w:rFonts w:eastAsia="NotDefSpecial"/>
        </w:rPr>
        <w:t>ž</w:t>
      </w:r>
      <w:r w:rsidRPr="002E6117">
        <w:rPr>
          <w:rFonts w:eastAsia="NotDefSpecial"/>
        </w:rPr>
        <w:t>ni leistino grei</w:t>
      </w:r>
      <w:r>
        <w:rPr>
          <w:rFonts w:eastAsia="NotDefSpecial"/>
        </w:rPr>
        <w:t>č</w:t>
      </w:r>
      <w:r w:rsidRPr="002E6117">
        <w:rPr>
          <w:rFonts w:eastAsia="NotDefSpecial"/>
        </w:rPr>
        <w:t>io vir</w:t>
      </w:r>
      <w:r>
        <w:rPr>
          <w:rFonts w:eastAsia="NotDefSpecial"/>
        </w:rPr>
        <w:t xml:space="preserve">šijimo faktai </w:t>
      </w:r>
      <w:r w:rsidRPr="002E6117">
        <w:rPr>
          <w:rFonts w:eastAsia="NotDefSpecial"/>
        </w:rPr>
        <w:t xml:space="preserve">bei </w:t>
      </w:r>
      <w:r>
        <w:rPr>
          <w:rFonts w:eastAsia="NotDefSpecial"/>
        </w:rPr>
        <w:t xml:space="preserve">yra </w:t>
      </w:r>
      <w:r w:rsidRPr="002E6117">
        <w:rPr>
          <w:rFonts w:eastAsia="NotDefSpecial"/>
        </w:rPr>
        <w:t xml:space="preserve">reali rizika eismo </w:t>
      </w:r>
      <w:r>
        <w:rPr>
          <w:rFonts w:eastAsia="NotDefSpecial"/>
        </w:rPr>
        <w:t>į</w:t>
      </w:r>
      <w:r w:rsidRPr="002E6117">
        <w:rPr>
          <w:rFonts w:eastAsia="NotDefSpecial"/>
        </w:rPr>
        <w:t>vykiams.</w:t>
      </w:r>
    </w:p>
    <w:p w:rsidR="00913AFD" w:rsidRPr="005369F7" w:rsidRDefault="00913AFD" w:rsidP="00913AFD">
      <w:pPr>
        <w:ind w:firstLine="709"/>
        <w:jc w:val="both"/>
        <w:rPr>
          <w:b/>
        </w:rPr>
      </w:pPr>
    </w:p>
    <w:p w:rsidR="00913AFD" w:rsidRPr="005369F7" w:rsidRDefault="00913AFD" w:rsidP="00913AFD">
      <w:pPr>
        <w:ind w:firstLine="709"/>
        <w:jc w:val="both"/>
        <w:rPr>
          <w:b/>
        </w:rPr>
      </w:pPr>
      <w:r w:rsidRPr="005369F7">
        <w:rPr>
          <w:b/>
        </w:rPr>
        <w:t>2.6. Sąlygų ugdyti sveiką gyvenseną bei tenkinti poreikį sportui, menui ir kultūrai sudarymas.</w:t>
      </w:r>
    </w:p>
    <w:p w:rsidR="00913AFD" w:rsidRPr="005369F7" w:rsidRDefault="00913AFD" w:rsidP="00913AFD">
      <w:pPr>
        <w:ind w:firstLine="709"/>
        <w:jc w:val="both"/>
      </w:pPr>
      <w:r w:rsidRPr="005369F7">
        <w:t xml:space="preserve">Remiantis Klaipėdos miesto visuomenės sveikatos biuro 2012 m. atliktų tyrimų duomenimis, </w:t>
      </w:r>
      <w:r w:rsidRPr="005369F7">
        <w:rPr>
          <w:rFonts w:eastAsia="Calibri"/>
        </w:rPr>
        <w:t>33,1 proc. klaipėdiečių turi antsvorio problemų, 13,3 proc. klaipėdiečių yra nutukę, o</w:t>
      </w:r>
      <w:r w:rsidRPr="005369F7">
        <w:t xml:space="preserve"> visai nesimankštinančių gyventojų dalis sudaro 45,5 proc. </w:t>
      </w:r>
    </w:p>
    <w:p w:rsidR="00913AFD" w:rsidRPr="005369F7" w:rsidRDefault="00913AFD" w:rsidP="00913AFD">
      <w:pPr>
        <w:ind w:firstLine="709"/>
        <w:jc w:val="both"/>
      </w:pPr>
      <w:r w:rsidRPr="005369F7">
        <w:t xml:space="preserve">Savivaldybės duomenimis, Klaipėdos mieste </w:t>
      </w:r>
      <w:r>
        <w:t xml:space="preserve">2013 m. </w:t>
      </w:r>
      <w:r w:rsidRPr="005369F7">
        <w:t>organizuotai sport</w:t>
      </w:r>
      <w:r>
        <w:t>avo</w:t>
      </w:r>
      <w:r w:rsidRPr="005369F7">
        <w:t xml:space="preserve"> apie </w:t>
      </w:r>
      <w:r>
        <w:t>8</w:t>
      </w:r>
      <w:r w:rsidRPr="005369F7">
        <w:t>,</w:t>
      </w:r>
      <w:r>
        <w:t>1</w:t>
      </w:r>
      <w:r w:rsidRPr="005369F7">
        <w:t xml:space="preserve"> proc. gyventojų, savarankiškai sportuoja ir mankštinasi apie 20 proc. miesto gyventojų. Palyginti, Europos Sąjungos miestuose organizuotai sportuoja vidutiniškai 17,3 proc., savarankiškai – 30–50 proc. gyventojų. </w:t>
      </w:r>
    </w:p>
    <w:p w:rsidR="00913AFD" w:rsidRPr="005369F7" w:rsidRDefault="00913AFD" w:rsidP="00913AFD">
      <w:pPr>
        <w:ind w:firstLine="709"/>
        <w:jc w:val="both"/>
        <w:rPr>
          <w:rFonts w:eastAsia="Calibri"/>
        </w:rPr>
      </w:pPr>
      <w:r w:rsidRPr="005369F7">
        <w:lastRenderedPageBreak/>
        <w:t>Netaisyklinga mityba ir mažas fizinis krūvis lemia rimtas sveikatos problemas. Ypač didelį nerimą kelia vaikų sveikatos būklė – Klaipėdos miesto visuomenės sveikatos biuro duomenimis, tik 1</w:t>
      </w:r>
      <w:r>
        <w:t>0,4</w:t>
      </w:r>
      <w:r w:rsidRPr="005369F7">
        <w:t xml:space="preserve"> proc. miesto moksleivių yra visiškai sveiki.</w:t>
      </w:r>
    </w:p>
    <w:p w:rsidR="00913AFD" w:rsidRPr="005369F7" w:rsidRDefault="00913AFD" w:rsidP="00913AFD">
      <w:pPr>
        <w:ind w:firstLine="709"/>
        <w:jc w:val="both"/>
      </w:pPr>
      <w:r w:rsidRPr="005369F7">
        <w:t xml:space="preserve">Siekdama paskatinti kuo daugiau miestiečių būti fiziškai aktyviais ir gyventi sveikai, savivaldybė ir jos įstaigos organizuoja įvairius sveikatingumo ir sporto renginius, mankštas. </w:t>
      </w:r>
      <w:r>
        <w:t>Nuo 2014 m.</w:t>
      </w:r>
      <w:r w:rsidRPr="005369F7">
        <w:t xml:space="preserve">, norint pritraukti daugiau vaikų ir jaunimo sportuoti, </w:t>
      </w:r>
      <w:r>
        <w:t>buvo įdiegta</w:t>
      </w:r>
      <w:r w:rsidRPr="005369F7">
        <w:t xml:space="preserve"> spor</w:t>
      </w:r>
      <w:r>
        <w:t>tuojančio vaiko krepšelio sistema, 2015–2017 m. kasmet sportuoti pritraukti apie 1600 vaikų.</w:t>
      </w:r>
      <w:r w:rsidRPr="005369F7">
        <w:t xml:space="preserve"> </w:t>
      </w:r>
    </w:p>
    <w:p w:rsidR="00913AFD" w:rsidRPr="005369F7" w:rsidRDefault="00913AFD" w:rsidP="00913AFD">
      <w:pPr>
        <w:tabs>
          <w:tab w:val="left" w:pos="570"/>
        </w:tabs>
        <w:ind w:firstLine="709"/>
        <w:jc w:val="both"/>
        <w:rPr>
          <w:i/>
        </w:rPr>
      </w:pPr>
      <w:r w:rsidRPr="005369F7">
        <w:t>Ne mažiau svarbi yra ir sporto bazių plėtra. 201</w:t>
      </w:r>
      <w:r>
        <w:t>5</w:t>
      </w:r>
      <w:r w:rsidRPr="005369F7">
        <w:t>–2020 m. numatoma įgyvendinti svarbius sporto srities investicinius projektus: pastatyti Klaipėdos miesto baseiną (50 m) su sveikatingumo centru; pertvarkyti futbolo sporto mokyklos ir buvusio baseino pastatus (Paryžiaus Komunos g. 16A) įkuriant sporto paslaugų kompleksą, skirtą įvairioms amžiaus grupėms; rekonstruoti</w:t>
      </w:r>
      <w:r>
        <w:t xml:space="preserve"> Irklavimo sporto bazę (Gluosnių skg. 8) bei</w:t>
      </w:r>
      <w:r w:rsidRPr="005369F7">
        <w:t xml:space="preserve"> sporto sveikatingumo kompleksą Smiltynėje (Smiltynės g. 13). 2015 m. bus rengiama techninė dokumentacija išvardytiems projektams</w:t>
      </w:r>
      <w:r>
        <w:t>, 2016–2017 m. vykdomi statybos darbai</w:t>
      </w:r>
      <w:r w:rsidRPr="005369F7">
        <w:t xml:space="preserve">. </w:t>
      </w:r>
      <w:r>
        <w:t>Siekiant pagerinti pietinės miesto dalies gyventojams sąlygas sportuoti, prie „Pajūrio“ pagrindinės mokyklos esančiame stadione bus įrengta dirbtinės žolės danga futbolo treniruotėms vykdyti.</w:t>
      </w:r>
    </w:p>
    <w:p w:rsidR="00913AFD" w:rsidRPr="005369F7" w:rsidRDefault="00913AFD" w:rsidP="00913AFD">
      <w:pPr>
        <w:ind w:firstLine="709"/>
        <w:jc w:val="both"/>
      </w:pPr>
      <w:r>
        <w:t>2015</w:t>
      </w:r>
      <w:r w:rsidRPr="005369F7">
        <w:t xml:space="preserve"> m. numatoma </w:t>
      </w:r>
      <w:r>
        <w:t xml:space="preserve">skirti didesnį dėmesį kultūros renginių finansavimui: bus surengtas Žiemos festivalio renginių ciklas, paminėtos svarbios miestui datos. Taip pat bus skirtos papildomos lėšos jaunimo teatrinės veiklos programų rėmimui. Siekiant </w:t>
      </w:r>
      <w:r w:rsidRPr="005369F7">
        <w:t>sudaryti palankias sąlygas kultūrinių ir kūrybinių industrijų veiklai</w:t>
      </w:r>
      <w:r>
        <w:t xml:space="preserve"> bus vykdoma</w:t>
      </w:r>
      <w:r w:rsidRPr="005369F7">
        <w:t xml:space="preserve"> kūrybinių verslų inkubatoriaus – Kultūros fabriko veiklų programos įgyvendinimas. </w:t>
      </w:r>
      <w:r>
        <w:t xml:space="preserve"> Taip pat, siekiant įgyvendinti strateginio plėtros plano nuostatas, bus remiami </w:t>
      </w:r>
      <w:r w:rsidRPr="005369F7">
        <w:t>jūrinio paveldo tyrima</w:t>
      </w:r>
      <w:r>
        <w:t>i</w:t>
      </w:r>
      <w:r w:rsidRPr="005369F7">
        <w:t xml:space="preserve">, </w:t>
      </w:r>
      <w:r>
        <w:t xml:space="preserve">remiami </w:t>
      </w:r>
      <w:r w:rsidRPr="005369F7">
        <w:t>jūrinio tapatumo stiprinim</w:t>
      </w:r>
      <w:r>
        <w:t>o projektai bei skatinamas</w:t>
      </w:r>
      <w:r w:rsidRPr="005369F7">
        <w:t xml:space="preserve"> jūrinių objektų ir simbolių panaudojim</w:t>
      </w:r>
      <w:r>
        <w:t>as</w:t>
      </w:r>
      <w:r w:rsidRPr="005369F7">
        <w:t xml:space="preserve"> turizmo tikslams.</w:t>
      </w:r>
    </w:p>
    <w:p w:rsidR="00913AFD" w:rsidRPr="005369F7" w:rsidRDefault="00913AFD" w:rsidP="00913AFD">
      <w:pPr>
        <w:ind w:firstLine="709"/>
        <w:jc w:val="both"/>
      </w:pPr>
    </w:p>
    <w:p w:rsidR="00913AFD" w:rsidRPr="005369F7" w:rsidRDefault="00913AFD" w:rsidP="00913AFD">
      <w:pPr>
        <w:ind w:firstLine="709"/>
        <w:jc w:val="both"/>
        <w:rPr>
          <w:b/>
        </w:rPr>
      </w:pPr>
      <w:r w:rsidRPr="005369F7">
        <w:rPr>
          <w:b/>
        </w:rPr>
        <w:t xml:space="preserve">3. Miesto patrauklumo investicijoms ir verslui didinimas:    </w:t>
      </w:r>
    </w:p>
    <w:p w:rsidR="00913AFD" w:rsidRPr="005369F7" w:rsidRDefault="00913AFD" w:rsidP="00913AFD">
      <w:pPr>
        <w:pStyle w:val="prastasistinklapis"/>
        <w:spacing w:after="0" w:line="240" w:lineRule="auto"/>
        <w:ind w:left="0" w:firstLine="709"/>
        <w:jc w:val="both"/>
        <w:rPr>
          <w:rFonts w:ascii="Times New Roman" w:hAnsi="Times New Roman" w:cs="Times New Roman"/>
          <w:b/>
          <w:lang w:val="lt-LT"/>
        </w:rPr>
      </w:pPr>
      <w:r w:rsidRPr="005369F7">
        <w:rPr>
          <w:rFonts w:ascii="Times New Roman" w:hAnsi="Times New Roman" w:cs="Times New Roman"/>
          <w:b/>
          <w:lang w:val="lt-LT"/>
        </w:rPr>
        <w:t>3.1. Investicijų pritraukimas ir naujų darbo vietų kūrimas.</w:t>
      </w:r>
    </w:p>
    <w:p w:rsidR="00913AFD" w:rsidRPr="005369F7" w:rsidRDefault="00913AFD" w:rsidP="00913AFD">
      <w:pPr>
        <w:ind w:firstLine="709"/>
        <w:jc w:val="both"/>
      </w:pPr>
      <w:proofErr w:type="spellStart"/>
      <w:r w:rsidRPr="005369F7">
        <w:t>Verslumas</w:t>
      </w:r>
      <w:proofErr w:type="spellEnd"/>
      <w:r w:rsidRPr="005369F7">
        <w:t xml:space="preserve"> ir smulkiosios ir vidutinės įmonės yra visuotinai pripažįstami ekonominės ir socialinės plėtros varikliu, o jų plėtra – būtina užimtumo ir konkurencingumo augimo prielaida. Gyventojų </w:t>
      </w:r>
      <w:proofErr w:type="spellStart"/>
      <w:r w:rsidRPr="005369F7">
        <w:t>verslumo</w:t>
      </w:r>
      <w:proofErr w:type="spellEnd"/>
      <w:r w:rsidRPr="005369F7">
        <w:t xml:space="preserve"> lygį atskleidžia veikiančių mažų ir vidutinių įmonių skaičius, tenkantis 1000</w:t>
      </w:r>
      <w:r w:rsidRPr="005369F7">
        <w:noBreakHyphen/>
      </w:r>
      <w:proofErr w:type="spellStart"/>
      <w:r w:rsidRPr="005369F7">
        <w:t>iui</w:t>
      </w:r>
      <w:proofErr w:type="spellEnd"/>
      <w:r w:rsidRPr="005369F7">
        <w:t xml:space="preserve"> gyventojų. Europos Sąjungos šalyse 1000-iui gyventojų tenka 50–60 įmonių. 2013 m. Klaipėdos mieste 1000-iui gyventojų vidutiniškai teko 30,5 veikianči</w:t>
      </w:r>
      <w:r>
        <w:t>os</w:t>
      </w:r>
      <w:r w:rsidRPr="005369F7">
        <w:t xml:space="preserve"> maž</w:t>
      </w:r>
      <w:r>
        <w:t>os</w:t>
      </w:r>
      <w:r w:rsidRPr="005369F7">
        <w:t xml:space="preserve"> ir vidutin</w:t>
      </w:r>
      <w:r>
        <w:t>ės</w:t>
      </w:r>
      <w:r w:rsidRPr="005369F7">
        <w:t xml:space="preserve"> įmon</w:t>
      </w:r>
      <w:r>
        <w:t>ės</w:t>
      </w:r>
      <w:r w:rsidRPr="005369F7">
        <w:t xml:space="preserve">, tai gerokai aukštesnė rodiklio reikšmė nei šalies vidurkis (22 veikiančios mažos ir vidutinės įmonės 1000-iui gyventojų). Kitas rodiklis, rodantis gyventojų </w:t>
      </w:r>
      <w:proofErr w:type="spellStart"/>
      <w:r w:rsidRPr="005369F7">
        <w:t>verslumo</w:t>
      </w:r>
      <w:proofErr w:type="spellEnd"/>
      <w:r w:rsidRPr="005369F7">
        <w:t xml:space="preserve"> lygį, yra išduotų verslo liudijimų skaičius 1000-iui gyventojų. 201</w:t>
      </w:r>
      <w:r>
        <w:t>3</w:t>
      </w:r>
      <w:r w:rsidRPr="005369F7">
        <w:t xml:space="preserve"> m. šis rodiklis Klaipėdos mieste sudarė </w:t>
      </w:r>
      <w:r>
        <w:t>15,5, 2014 m. rodiklio reikšmė augo, nes Klaipėdos miesto savivaldybės tarybai kai kurioms veikloms, vykdomoms pagal verslo liudijimą, nustatė minimalų – 1 Lt mokestį per metus.</w:t>
      </w:r>
    </w:p>
    <w:p w:rsidR="00913AFD" w:rsidRPr="005369F7" w:rsidRDefault="00913AFD" w:rsidP="00913AFD">
      <w:pPr>
        <w:ind w:firstLine="709"/>
        <w:jc w:val="both"/>
      </w:pPr>
      <w:r w:rsidRPr="005369F7">
        <w:t xml:space="preserve">Siekiant skatinti </w:t>
      </w:r>
      <w:proofErr w:type="spellStart"/>
      <w:r w:rsidRPr="005369F7">
        <w:t>verslumą</w:t>
      </w:r>
      <w:proofErr w:type="spellEnd"/>
      <w:r w:rsidRPr="005369F7">
        <w:t>, 201</w:t>
      </w:r>
      <w:r>
        <w:t>5</w:t>
      </w:r>
      <w:r w:rsidRPr="005369F7">
        <w:t>–201</w:t>
      </w:r>
      <w:r>
        <w:t>7</w:t>
      </w:r>
      <w:r w:rsidRPr="005369F7">
        <w:t xml:space="preserve"> m. numatoma vykdyti mokinių ir jaunimo </w:t>
      </w:r>
      <w:proofErr w:type="spellStart"/>
      <w:r w:rsidRPr="005369F7">
        <w:t>verslumo</w:t>
      </w:r>
      <w:proofErr w:type="spellEnd"/>
      <w:r w:rsidRPr="005369F7">
        <w:t xml:space="preserve"> u</w:t>
      </w:r>
      <w:r>
        <w:t>gdymo projektus, remti mažas ir</w:t>
      </w:r>
      <w:r w:rsidRPr="005369F7">
        <w:t xml:space="preserve"> vidutines įmones, besikuriančias kūrybinių verslų inkubatoriuje Kultūros fabrike.</w:t>
      </w:r>
    </w:p>
    <w:p w:rsidR="00913AFD" w:rsidRPr="005369F7" w:rsidRDefault="00913AFD" w:rsidP="00913AFD">
      <w:pPr>
        <w:ind w:firstLine="709"/>
        <w:jc w:val="both"/>
      </w:pPr>
      <w:r w:rsidRPr="005369F7">
        <w:t>Miesto ekonominio vystymosi tempus dažniausiai lemia investicijos, kurios yra svarbus kapitalo, darbo vietų kūrimo, eksporto didinimo ir naujų žinių (tiek vadybinių, tiek technologinių) įdiegimo šaltinis. Statant naujas įmones, diegiant pažangias technologijas pramonėje, investuojant į inovacijas, į urbanistinę ir socialinę infrastruktūrą, gyvenimo lygis kyla, didėja pajamos, sukuriama daugiau bendrojo vidaus produkto (BVP), gerėja prekių ir paslaugų kokybė.</w:t>
      </w:r>
      <w:r>
        <w:t xml:space="preserve"> Kiekvienai savivaldybei aktualu pritraukti investicijų, nes investuotojai sukuria naujas darbo vietas. Vertinant šalies mastu, Klaipėdos miesto situacija investicijų pritraukimo atžvilgiu nėra prasta.</w:t>
      </w:r>
      <w:r w:rsidRPr="005369F7">
        <w:t xml:space="preserve"> Tiesioginės užsienio investicijos (TUI) Klaipėdos miesto savivaldybėje 2007–2012 m. laikotarpiu augo palyginti sparčiai – augimas sudarė apie 30 proc. 201</w:t>
      </w:r>
      <w:r>
        <w:t>3</w:t>
      </w:r>
      <w:r w:rsidRPr="005369F7">
        <w:t xml:space="preserve"> m. TUI Klaipėdos mieste sudarė 15,</w:t>
      </w:r>
      <w:r>
        <w:t>6</w:t>
      </w:r>
      <w:r w:rsidRPr="005369F7">
        <w:t xml:space="preserve"> tūkst. Lt vienam gyventojui</w:t>
      </w:r>
      <w:r>
        <w:t>, m</w:t>
      </w:r>
      <w:r w:rsidRPr="005369F7">
        <w:t>aterialinės investicijos 2012 m. Klaipėdos mieste sudarė 7,17 tūkst. Lt, vienam gyventojui.</w:t>
      </w:r>
      <w:r>
        <w:t xml:space="preserve"> </w:t>
      </w:r>
      <w:r w:rsidRPr="005369F7">
        <w:t>Siekiant pritraukti</w:t>
      </w:r>
      <w:r>
        <w:t xml:space="preserve"> daugiau</w:t>
      </w:r>
      <w:r w:rsidRPr="005369F7">
        <w:t xml:space="preserve"> investicijų,</w:t>
      </w:r>
      <w:r>
        <w:t xml:space="preserve"> 2015–2017 m.</w:t>
      </w:r>
      <w:r w:rsidRPr="005369F7">
        <w:t xml:space="preserve"> planuojama parengti efektyvias rinkodaros priemones, didinti miesto pasiekiamumą įvairiomis transporto rūšimis</w:t>
      </w:r>
      <w:r>
        <w:t xml:space="preserve"> (visų pirma – oro transportu)</w:t>
      </w:r>
      <w:r w:rsidRPr="005369F7">
        <w:t>.</w:t>
      </w:r>
    </w:p>
    <w:p w:rsidR="00913AFD" w:rsidRPr="005369F7" w:rsidRDefault="00913AFD" w:rsidP="00913AFD">
      <w:pPr>
        <w:ind w:firstLine="709"/>
        <w:jc w:val="both"/>
      </w:pPr>
    </w:p>
    <w:p w:rsidR="00913AFD" w:rsidRPr="005369F7" w:rsidRDefault="00913AFD" w:rsidP="00913AFD">
      <w:pPr>
        <w:pStyle w:val="prastasistinklapis"/>
        <w:spacing w:after="0" w:line="240" w:lineRule="auto"/>
        <w:ind w:left="0" w:firstLine="709"/>
        <w:jc w:val="both"/>
        <w:rPr>
          <w:rFonts w:ascii="Times New Roman" w:hAnsi="Times New Roman" w:cs="Times New Roman"/>
          <w:b/>
          <w:color w:val="002060"/>
          <w:lang w:val="lt-LT"/>
        </w:rPr>
      </w:pPr>
      <w:r w:rsidRPr="005369F7">
        <w:rPr>
          <w:rFonts w:ascii="Times New Roman" w:hAnsi="Times New Roman" w:cs="Times New Roman"/>
          <w:b/>
          <w:lang w:val="lt-LT"/>
        </w:rPr>
        <w:t>3.2. Turistų traukos objektų formavimas</w:t>
      </w:r>
      <w:r w:rsidRPr="005369F7">
        <w:rPr>
          <w:rFonts w:ascii="Times New Roman" w:hAnsi="Times New Roman" w:cs="Times New Roman"/>
          <w:b/>
          <w:color w:val="002060"/>
          <w:lang w:val="lt-LT"/>
        </w:rPr>
        <w:t>.</w:t>
      </w:r>
    </w:p>
    <w:p w:rsidR="00913AFD" w:rsidRDefault="00913AFD" w:rsidP="00913AFD">
      <w:pPr>
        <w:ind w:firstLine="709"/>
        <w:jc w:val="both"/>
      </w:pPr>
      <w:r w:rsidRPr="00823FE0">
        <w:t>2014 m. į Klaipėdą atvykstančių turistų skaičius buvo apie 10</w:t>
      </w:r>
      <w:r>
        <w:t xml:space="preserve"> </w:t>
      </w:r>
      <w:r w:rsidRPr="00823FE0">
        <w:t xml:space="preserve">% didesnis nei 2013 m. </w:t>
      </w:r>
      <w:r>
        <w:t xml:space="preserve">Remiantis </w:t>
      </w:r>
      <w:proofErr w:type="spellStart"/>
      <w:r w:rsidRPr="00823FE0">
        <w:t>VšĮ</w:t>
      </w:r>
      <w:proofErr w:type="spellEnd"/>
      <w:r w:rsidRPr="00823FE0">
        <w:t xml:space="preserve"> Klaipėdos turizmo ir kultūros informacijos centro informacij</w:t>
      </w:r>
      <w:r>
        <w:t>a,</w:t>
      </w:r>
      <w:r w:rsidRPr="00823FE0">
        <w:t xml:space="preserve"> daugiausia svečių sulaukta iš Vokietijos (40,79</w:t>
      </w:r>
      <w:r>
        <w:t xml:space="preserve"> </w:t>
      </w:r>
      <w:r w:rsidRPr="00823FE0">
        <w:t>%), Lietuvos (9,67</w:t>
      </w:r>
      <w:r>
        <w:t xml:space="preserve"> </w:t>
      </w:r>
      <w:r w:rsidRPr="00823FE0">
        <w:t>%), Rusijos (5,85</w:t>
      </w:r>
      <w:r>
        <w:t xml:space="preserve"> </w:t>
      </w:r>
      <w:r w:rsidRPr="00823FE0">
        <w:t>%), JAV (5,29</w:t>
      </w:r>
      <w:r>
        <w:t xml:space="preserve"> </w:t>
      </w:r>
      <w:r w:rsidRPr="00823FE0">
        <w:t>%), Didžiosios Britanijos (4,99</w:t>
      </w:r>
      <w:r>
        <w:t xml:space="preserve"> </w:t>
      </w:r>
      <w:r w:rsidRPr="00823FE0">
        <w:t>%), Lenkijos (4,74</w:t>
      </w:r>
      <w:r>
        <w:t xml:space="preserve"> </w:t>
      </w:r>
      <w:r w:rsidRPr="00823FE0">
        <w:t>%), Latvijos (4,39</w:t>
      </w:r>
      <w:r>
        <w:t xml:space="preserve"> </w:t>
      </w:r>
      <w:r w:rsidRPr="00823FE0">
        <w:t>%), Italijos (3,75</w:t>
      </w:r>
      <w:r>
        <w:t xml:space="preserve"> </w:t>
      </w:r>
      <w:r w:rsidRPr="00823FE0">
        <w:t>%), Ispanijos (2,88</w:t>
      </w:r>
      <w:r>
        <w:t xml:space="preserve"> </w:t>
      </w:r>
      <w:r w:rsidRPr="00823FE0">
        <w:t>%), Šveicarijos (1,31</w:t>
      </w:r>
      <w:r>
        <w:t xml:space="preserve"> </w:t>
      </w:r>
      <w:r w:rsidRPr="00823FE0">
        <w:t xml:space="preserve">%). </w:t>
      </w:r>
    </w:p>
    <w:p w:rsidR="00913AFD" w:rsidRPr="005369F7" w:rsidRDefault="00913AFD" w:rsidP="00913AFD">
      <w:pPr>
        <w:ind w:firstLine="709"/>
        <w:jc w:val="both"/>
        <w:rPr>
          <w:color w:val="FF0000"/>
        </w:rPr>
      </w:pPr>
      <w:r w:rsidRPr="005369F7">
        <w:t>Svarbus rodiklis, nusakantis turizmo tendencijas, yra apgyvendinimo įstaigų užimtumas. Remiantis Statistikos departamento prie Lietuvos Respublikos Vyriausybės duomenimis, 201</w:t>
      </w:r>
      <w:r>
        <w:t>3</w:t>
      </w:r>
      <w:r w:rsidRPr="005369F7">
        <w:t xml:space="preserve"> m. </w:t>
      </w:r>
      <w:r>
        <w:t>Klaipėdos mieste veikiančių viešbučių ir motelių numerių užimtumas sudarė 48,7 proc. (vidutiniškai per metus).</w:t>
      </w:r>
    </w:p>
    <w:p w:rsidR="00913AFD" w:rsidRPr="005369F7" w:rsidRDefault="00913AFD" w:rsidP="00913AFD">
      <w:pPr>
        <w:ind w:firstLine="709"/>
        <w:jc w:val="both"/>
      </w:pPr>
      <w:r w:rsidRPr="005369F7">
        <w:t xml:space="preserve">Klaipėdos miestas gali tapti išskirtiniu turistiniu traukos centru, tačiau visų pirma būtinos investicijos į infrastruktūros sutvarkymą, naujas patrauklias paslaugas, informacijos apie turizmo paslaugas sklaidą. </w:t>
      </w:r>
    </w:p>
    <w:p w:rsidR="00913AFD" w:rsidRPr="005369F7" w:rsidRDefault="00913AFD" w:rsidP="00913AFD">
      <w:pPr>
        <w:ind w:firstLine="709"/>
        <w:jc w:val="both"/>
        <w:rPr>
          <w:lang w:eastAsia="lt-LT"/>
        </w:rPr>
      </w:pPr>
      <w:r w:rsidRPr="005369F7">
        <w:t xml:space="preserve">Vertinant esamą turistinę aplinką ir turizmo plėtros tendencijas, turizmo srityje planuojama toliau </w:t>
      </w:r>
      <w:r w:rsidRPr="005369F7">
        <w:rPr>
          <w:lang w:eastAsia="lt-LT"/>
        </w:rPr>
        <w:t xml:space="preserve">tobulinti viešąją turizmo infrastruktūrą – investuoti į Klaipėdos piliavietės sutvarkymą, Danės upės ir jos pakrančių pritaikymą turizmui, paplūdimių infrastruktūrą. </w:t>
      </w:r>
    </w:p>
    <w:p w:rsidR="00913AFD" w:rsidRPr="005369F7" w:rsidRDefault="00913AFD" w:rsidP="00913AFD">
      <w:pPr>
        <w:ind w:firstLine="709"/>
        <w:jc w:val="both"/>
        <w:rPr>
          <w:lang w:eastAsia="lt-LT"/>
        </w:rPr>
      </w:pPr>
      <w:r w:rsidRPr="005369F7">
        <w:rPr>
          <w:lang w:eastAsia="lt-LT"/>
        </w:rPr>
        <w:t xml:space="preserve">Labai svarbu yra ne tik kurti ir tobulinti turizmo infrastruktūrą, bet ir organizuoti renginius, </w:t>
      </w:r>
      <w:r>
        <w:rPr>
          <w:lang w:eastAsia="lt-LT"/>
        </w:rPr>
        <w:t xml:space="preserve">turistinius maršrutus, </w:t>
      </w:r>
      <w:r w:rsidRPr="005369F7">
        <w:rPr>
          <w:lang w:eastAsia="lt-LT"/>
        </w:rPr>
        <w:t>kultūrines veiklas</w:t>
      </w:r>
      <w:r>
        <w:rPr>
          <w:lang w:eastAsia="lt-LT"/>
        </w:rPr>
        <w:t>, pritraukiančias turistus</w:t>
      </w:r>
      <w:r w:rsidRPr="005369F7">
        <w:rPr>
          <w:lang w:eastAsia="lt-LT"/>
        </w:rPr>
        <w:t xml:space="preserve">. </w:t>
      </w:r>
      <w:r>
        <w:rPr>
          <w:lang w:eastAsia="lt-LT"/>
        </w:rPr>
        <w:t xml:space="preserve"> 2015 m. Klaipėdoje planuojami du stambūs jūrinės kultūros renginiai – regata</w:t>
      </w:r>
      <w:r w:rsidRPr="005369F7">
        <w:rPr>
          <w:lang w:eastAsia="lt-LT"/>
        </w:rPr>
        <w:t xml:space="preserve"> „</w:t>
      </w:r>
      <w:proofErr w:type="spellStart"/>
      <w:r w:rsidRPr="005369F7">
        <w:rPr>
          <w:lang w:eastAsia="lt-LT"/>
        </w:rPr>
        <w:t>The</w:t>
      </w:r>
      <w:proofErr w:type="spellEnd"/>
      <w:r w:rsidRPr="005369F7">
        <w:rPr>
          <w:lang w:eastAsia="lt-LT"/>
        </w:rPr>
        <w:t xml:space="preserve"> </w:t>
      </w:r>
      <w:proofErr w:type="spellStart"/>
      <w:r w:rsidRPr="005369F7">
        <w:rPr>
          <w:lang w:eastAsia="lt-LT"/>
        </w:rPr>
        <w:t>Tall</w:t>
      </w:r>
      <w:proofErr w:type="spellEnd"/>
      <w:r w:rsidRPr="005369F7">
        <w:rPr>
          <w:lang w:eastAsia="lt-LT"/>
        </w:rPr>
        <w:t xml:space="preserve"> </w:t>
      </w:r>
      <w:proofErr w:type="spellStart"/>
      <w:r w:rsidRPr="005369F7">
        <w:rPr>
          <w:lang w:eastAsia="lt-LT"/>
        </w:rPr>
        <w:t>Ships</w:t>
      </w:r>
      <w:proofErr w:type="spellEnd"/>
      <w:r w:rsidRPr="005369F7">
        <w:rPr>
          <w:lang w:eastAsia="lt-LT"/>
        </w:rPr>
        <w:t xml:space="preserve"> </w:t>
      </w:r>
      <w:proofErr w:type="spellStart"/>
      <w:r w:rsidRPr="005369F7">
        <w:rPr>
          <w:lang w:eastAsia="lt-LT"/>
        </w:rPr>
        <w:t>Races</w:t>
      </w:r>
      <w:proofErr w:type="spellEnd"/>
      <w:r w:rsidRPr="005369F7">
        <w:rPr>
          <w:lang w:eastAsia="lt-LT"/>
        </w:rPr>
        <w:t xml:space="preserve">“ </w:t>
      </w:r>
      <w:r>
        <w:rPr>
          <w:lang w:eastAsia="lt-LT"/>
        </w:rPr>
        <w:t xml:space="preserve"> bei regata „</w:t>
      </w:r>
      <w:proofErr w:type="spellStart"/>
      <w:r>
        <w:rPr>
          <w:lang w:eastAsia="lt-LT"/>
        </w:rPr>
        <w:t>Baltic</w:t>
      </w:r>
      <w:proofErr w:type="spellEnd"/>
      <w:r>
        <w:rPr>
          <w:lang w:eastAsia="lt-LT"/>
        </w:rPr>
        <w:t xml:space="preserve"> </w:t>
      </w:r>
      <w:proofErr w:type="spellStart"/>
      <w:r>
        <w:rPr>
          <w:lang w:eastAsia="lt-LT"/>
        </w:rPr>
        <w:t>Sail</w:t>
      </w:r>
      <w:proofErr w:type="spellEnd"/>
      <w:r>
        <w:rPr>
          <w:lang w:eastAsia="lt-LT"/>
        </w:rPr>
        <w:t xml:space="preserve">“. </w:t>
      </w:r>
      <w:r w:rsidRPr="005369F7">
        <w:rPr>
          <w:lang w:eastAsia="lt-LT"/>
        </w:rPr>
        <w:t>2017</w:t>
      </w:r>
      <w:r>
        <w:rPr>
          <w:lang w:eastAsia="lt-LT"/>
        </w:rPr>
        <w:t> </w:t>
      </w:r>
      <w:r w:rsidRPr="005369F7">
        <w:rPr>
          <w:lang w:eastAsia="lt-LT"/>
        </w:rPr>
        <w:t>m. Klaipėda taps regatos „</w:t>
      </w:r>
      <w:proofErr w:type="spellStart"/>
      <w:r w:rsidRPr="005369F7">
        <w:rPr>
          <w:lang w:eastAsia="lt-LT"/>
        </w:rPr>
        <w:t>The</w:t>
      </w:r>
      <w:proofErr w:type="spellEnd"/>
      <w:r w:rsidRPr="005369F7">
        <w:rPr>
          <w:lang w:eastAsia="lt-LT"/>
        </w:rPr>
        <w:t xml:space="preserve"> </w:t>
      </w:r>
      <w:proofErr w:type="spellStart"/>
      <w:r w:rsidRPr="005369F7">
        <w:rPr>
          <w:lang w:eastAsia="lt-LT"/>
        </w:rPr>
        <w:t>Tall</w:t>
      </w:r>
      <w:proofErr w:type="spellEnd"/>
      <w:r w:rsidRPr="005369F7">
        <w:rPr>
          <w:lang w:eastAsia="lt-LT"/>
        </w:rPr>
        <w:t xml:space="preserve"> </w:t>
      </w:r>
      <w:proofErr w:type="spellStart"/>
      <w:r w:rsidRPr="005369F7">
        <w:rPr>
          <w:lang w:eastAsia="lt-LT"/>
        </w:rPr>
        <w:t>Ships</w:t>
      </w:r>
      <w:proofErr w:type="spellEnd"/>
      <w:r w:rsidRPr="005369F7">
        <w:rPr>
          <w:lang w:eastAsia="lt-LT"/>
        </w:rPr>
        <w:t xml:space="preserve"> </w:t>
      </w:r>
      <w:proofErr w:type="spellStart"/>
      <w:r w:rsidRPr="005369F7">
        <w:rPr>
          <w:lang w:eastAsia="lt-LT"/>
        </w:rPr>
        <w:t>Races</w:t>
      </w:r>
      <w:proofErr w:type="spellEnd"/>
      <w:r w:rsidRPr="005369F7">
        <w:rPr>
          <w:lang w:eastAsia="lt-LT"/>
        </w:rPr>
        <w:t>“ finaliniu uostu</w:t>
      </w:r>
      <w:r>
        <w:rPr>
          <w:lang w:eastAsia="lt-LT"/>
        </w:rPr>
        <w:t xml:space="preserve">. Šie </w:t>
      </w:r>
      <w:proofErr w:type="spellStart"/>
      <w:r>
        <w:rPr>
          <w:lang w:eastAsia="lt-LT"/>
        </w:rPr>
        <w:t>atraktyvūs</w:t>
      </w:r>
      <w:proofErr w:type="spellEnd"/>
      <w:r>
        <w:rPr>
          <w:lang w:eastAsia="lt-LT"/>
        </w:rPr>
        <w:t xml:space="preserve"> renginiai</w:t>
      </w:r>
      <w:r w:rsidRPr="005369F7">
        <w:rPr>
          <w:lang w:eastAsia="lt-LT"/>
        </w:rPr>
        <w:t xml:space="preserve"> </w:t>
      </w:r>
      <w:r>
        <w:rPr>
          <w:lang w:eastAsia="lt-LT"/>
        </w:rPr>
        <w:t xml:space="preserve">paprastai </w:t>
      </w:r>
      <w:r w:rsidRPr="005369F7">
        <w:rPr>
          <w:lang w:eastAsia="lt-LT"/>
        </w:rPr>
        <w:t>sutraukia didelius turistų srautus. 201</w:t>
      </w:r>
      <w:r>
        <w:rPr>
          <w:lang w:eastAsia="lt-LT"/>
        </w:rPr>
        <w:t>5</w:t>
      </w:r>
      <w:r w:rsidRPr="005369F7">
        <w:rPr>
          <w:lang w:eastAsia="lt-LT"/>
        </w:rPr>
        <w:t>–2016 m. planuojama kurti</w:t>
      </w:r>
      <w:r>
        <w:rPr>
          <w:lang w:eastAsia="lt-LT"/>
        </w:rPr>
        <w:t xml:space="preserve"> naujus ir tobulinti esamus</w:t>
      </w:r>
      <w:r w:rsidRPr="005369F7">
        <w:rPr>
          <w:lang w:eastAsia="lt-LT"/>
        </w:rPr>
        <w:t xml:space="preserve"> kultūrinio turizmo maršrutus – vėtrungių, švyturių, vargonų, karalienės Luizės </w:t>
      </w:r>
      <w:proofErr w:type="spellStart"/>
      <w:r w:rsidRPr="005369F7">
        <w:rPr>
          <w:lang w:eastAsia="lt-LT"/>
        </w:rPr>
        <w:t>keliо</w:t>
      </w:r>
      <w:proofErr w:type="spellEnd"/>
      <w:r w:rsidRPr="005369F7">
        <w:rPr>
          <w:lang w:eastAsia="lt-LT"/>
        </w:rPr>
        <w:t>, kurie būtų patrauklūs ir miesto svečiams, ir miestiečiams.</w:t>
      </w:r>
    </w:p>
    <w:p w:rsidR="0057612A" w:rsidRDefault="0057612A"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Default="00913AFD" w:rsidP="0006079E">
      <w:pPr>
        <w:jc w:val="center"/>
      </w:pPr>
    </w:p>
    <w:p w:rsidR="00913AFD" w:rsidRPr="0005669E" w:rsidRDefault="00913AFD" w:rsidP="00913AFD">
      <w:pPr>
        <w:jc w:val="center"/>
        <w:rPr>
          <w:b/>
          <w:noProof/>
        </w:rPr>
      </w:pPr>
      <w:r w:rsidRPr="0005669E">
        <w:rPr>
          <w:b/>
          <w:noProof/>
        </w:rPr>
        <w:t>KLAIPĖDOS MIESTO SAVIVALDYBĖS</w:t>
      </w:r>
    </w:p>
    <w:p w:rsidR="00913AFD" w:rsidRPr="0005669E" w:rsidRDefault="00913AFD" w:rsidP="00913AFD">
      <w:pPr>
        <w:tabs>
          <w:tab w:val="left" w:pos="1134"/>
        </w:tabs>
        <w:contextualSpacing/>
        <w:jc w:val="center"/>
        <w:outlineLvl w:val="0"/>
        <w:rPr>
          <w:b/>
          <w:color w:val="000000"/>
        </w:rPr>
      </w:pPr>
      <w:r w:rsidRPr="0005669E">
        <w:rPr>
          <w:b/>
          <w:color w:val="000000"/>
        </w:rPr>
        <w:t>STRATEGINIAI TIKSLAI IR EFEKTO KRITERIJAI</w:t>
      </w:r>
    </w:p>
    <w:p w:rsidR="00913AFD" w:rsidRPr="0005669E" w:rsidRDefault="00913AFD" w:rsidP="00913AFD">
      <w:pPr>
        <w:tabs>
          <w:tab w:val="left" w:pos="1134"/>
        </w:tabs>
        <w:contextualSpacing/>
        <w:jc w:val="center"/>
        <w:outlineLvl w:val="0"/>
        <w:rPr>
          <w:b/>
          <w:color w:val="00000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66"/>
        <w:gridCol w:w="8217"/>
      </w:tblGrid>
      <w:tr w:rsidR="00913AFD" w:rsidRPr="0005669E" w:rsidTr="005A0762">
        <w:trPr>
          <w:cantSplit/>
          <w:trHeight w:val="471"/>
        </w:trPr>
        <w:tc>
          <w:tcPr>
            <w:tcW w:w="9885" w:type="dxa"/>
            <w:gridSpan w:val="3"/>
            <w:shd w:val="clear" w:color="auto" w:fill="D9D9D9" w:themeFill="background1" w:themeFillShade="D9"/>
            <w:hideMark/>
          </w:tcPr>
          <w:p w:rsidR="00913AFD" w:rsidRPr="0005669E" w:rsidRDefault="00913AFD" w:rsidP="005A0762">
            <w:pPr>
              <w:contextualSpacing/>
              <w:jc w:val="both"/>
              <w:rPr>
                <w:b/>
                <w:bCs/>
                <w:sz w:val="28"/>
                <w:szCs w:val="28"/>
              </w:rPr>
            </w:pPr>
            <w:r w:rsidRPr="0005669E">
              <w:rPr>
                <w:b/>
                <w:bCs/>
              </w:rPr>
              <w:t>01 STRATEGINIS TIKSLAS – didinti miesto konkurencingumą, kryptingai vystant infrastruktūrą ir sudarant palankias sąlygas verslui</w:t>
            </w:r>
          </w:p>
        </w:tc>
      </w:tr>
      <w:tr w:rsidR="00913AFD" w:rsidRPr="0005669E" w:rsidTr="005A0762">
        <w:trPr>
          <w:cantSplit/>
          <w:trHeight w:val="185"/>
        </w:trPr>
        <w:tc>
          <w:tcPr>
            <w:tcW w:w="1602" w:type="dxa"/>
            <w:shd w:val="clear" w:color="auto" w:fill="auto"/>
            <w:hideMark/>
          </w:tcPr>
          <w:p w:rsidR="00913AFD" w:rsidRPr="0005669E" w:rsidRDefault="00913AFD" w:rsidP="005A0762">
            <w:pPr>
              <w:tabs>
                <w:tab w:val="left" w:pos="1107"/>
              </w:tabs>
              <w:contextualSpacing/>
              <w:jc w:val="center"/>
            </w:pPr>
            <w:r w:rsidRPr="0005669E">
              <w:t>Kodas</w:t>
            </w:r>
          </w:p>
        </w:tc>
        <w:tc>
          <w:tcPr>
            <w:tcW w:w="8283" w:type="dxa"/>
            <w:gridSpan w:val="2"/>
            <w:shd w:val="clear" w:color="auto" w:fill="auto"/>
            <w:hideMark/>
          </w:tcPr>
          <w:p w:rsidR="00913AFD" w:rsidRPr="0005669E" w:rsidRDefault="00913AFD" w:rsidP="005A0762">
            <w:pPr>
              <w:tabs>
                <w:tab w:val="left" w:pos="1107"/>
              </w:tabs>
              <w:contextualSpacing/>
              <w:jc w:val="both"/>
              <w:rPr>
                <w:b/>
              </w:rPr>
            </w:pPr>
            <w:r w:rsidRPr="0005669E">
              <w:t>Įgyvendinant šį strateginį tikslą, vykdomos programos:</w:t>
            </w:r>
          </w:p>
        </w:tc>
      </w:tr>
      <w:tr w:rsidR="00913AFD" w:rsidRPr="0005669E" w:rsidTr="005A0762">
        <w:trPr>
          <w:cantSplit/>
          <w:trHeight w:val="185"/>
        </w:trPr>
        <w:tc>
          <w:tcPr>
            <w:tcW w:w="1602" w:type="dxa"/>
            <w:shd w:val="clear" w:color="auto" w:fill="auto"/>
            <w:hideMark/>
          </w:tcPr>
          <w:p w:rsidR="00913AFD" w:rsidRPr="0005669E" w:rsidRDefault="00913AFD" w:rsidP="005A0762">
            <w:pPr>
              <w:tabs>
                <w:tab w:val="left" w:pos="1296"/>
                <w:tab w:val="center" w:pos="4153"/>
                <w:tab w:val="right" w:pos="8306"/>
              </w:tabs>
              <w:contextualSpacing/>
              <w:jc w:val="center"/>
              <w:rPr>
                <w:b/>
              </w:rPr>
            </w:pPr>
            <w:r w:rsidRPr="0005669E">
              <w:rPr>
                <w:b/>
              </w:rPr>
              <w:t>01</w:t>
            </w:r>
          </w:p>
        </w:tc>
        <w:tc>
          <w:tcPr>
            <w:tcW w:w="8283" w:type="dxa"/>
            <w:gridSpan w:val="2"/>
            <w:shd w:val="clear" w:color="auto" w:fill="auto"/>
            <w:hideMark/>
          </w:tcPr>
          <w:p w:rsidR="00913AFD" w:rsidRPr="0005669E" w:rsidRDefault="00913AFD" w:rsidP="005A0762">
            <w:pPr>
              <w:tabs>
                <w:tab w:val="left" w:pos="1296"/>
                <w:tab w:val="center" w:pos="4153"/>
                <w:tab w:val="right" w:pos="8306"/>
              </w:tabs>
              <w:contextualSpacing/>
              <w:rPr>
                <w:b/>
              </w:rPr>
            </w:pPr>
            <w:r w:rsidRPr="0005669E">
              <w:rPr>
                <w:b/>
              </w:rPr>
              <w:t>Miesto urbanistinio planavimo programa</w:t>
            </w:r>
          </w:p>
        </w:tc>
      </w:tr>
      <w:tr w:rsidR="00913AFD" w:rsidRPr="0005669E" w:rsidTr="005A0762">
        <w:trPr>
          <w:cantSplit/>
          <w:trHeight w:val="185"/>
        </w:trPr>
        <w:tc>
          <w:tcPr>
            <w:tcW w:w="1602" w:type="dxa"/>
            <w:shd w:val="clear" w:color="auto" w:fill="auto"/>
            <w:hideMark/>
          </w:tcPr>
          <w:p w:rsidR="00913AFD" w:rsidRPr="0005669E" w:rsidRDefault="00913AFD" w:rsidP="005A0762">
            <w:pPr>
              <w:tabs>
                <w:tab w:val="left" w:pos="1296"/>
                <w:tab w:val="center" w:pos="4153"/>
                <w:tab w:val="right" w:pos="8306"/>
              </w:tabs>
              <w:contextualSpacing/>
              <w:jc w:val="center"/>
              <w:rPr>
                <w:b/>
              </w:rPr>
            </w:pPr>
            <w:r w:rsidRPr="0005669E">
              <w:rPr>
                <w:b/>
              </w:rPr>
              <w:t>02</w:t>
            </w:r>
          </w:p>
        </w:tc>
        <w:tc>
          <w:tcPr>
            <w:tcW w:w="8283" w:type="dxa"/>
            <w:gridSpan w:val="2"/>
            <w:shd w:val="clear" w:color="auto" w:fill="auto"/>
            <w:hideMark/>
          </w:tcPr>
          <w:p w:rsidR="00913AFD" w:rsidRPr="0005669E" w:rsidRDefault="00913AFD" w:rsidP="005A0762">
            <w:pPr>
              <w:contextualSpacing/>
              <w:jc w:val="both"/>
              <w:rPr>
                <w:b/>
              </w:rPr>
            </w:pPr>
            <w:r w:rsidRPr="0005669E">
              <w:rPr>
                <w:b/>
              </w:rPr>
              <w:t>Subalansuoto turizmo skatinimo ir vystymo programa</w:t>
            </w:r>
          </w:p>
        </w:tc>
      </w:tr>
      <w:tr w:rsidR="00913AFD" w:rsidRPr="0005669E" w:rsidTr="005A0762">
        <w:trPr>
          <w:cantSplit/>
          <w:trHeight w:val="185"/>
        </w:trPr>
        <w:tc>
          <w:tcPr>
            <w:tcW w:w="1602" w:type="dxa"/>
            <w:shd w:val="clear" w:color="auto" w:fill="auto"/>
            <w:hideMark/>
          </w:tcPr>
          <w:p w:rsidR="00913AFD" w:rsidRPr="0005669E" w:rsidRDefault="00913AFD" w:rsidP="005A0762">
            <w:pPr>
              <w:tabs>
                <w:tab w:val="left" w:pos="1296"/>
                <w:tab w:val="center" w:pos="4153"/>
                <w:tab w:val="right" w:pos="8306"/>
              </w:tabs>
              <w:contextualSpacing/>
              <w:jc w:val="center"/>
              <w:rPr>
                <w:b/>
              </w:rPr>
            </w:pPr>
            <w:r w:rsidRPr="0005669E">
              <w:rPr>
                <w:b/>
              </w:rPr>
              <w:t>03</w:t>
            </w:r>
          </w:p>
        </w:tc>
        <w:tc>
          <w:tcPr>
            <w:tcW w:w="8283" w:type="dxa"/>
            <w:gridSpan w:val="2"/>
            <w:shd w:val="clear" w:color="auto" w:fill="auto"/>
            <w:hideMark/>
          </w:tcPr>
          <w:p w:rsidR="00913AFD" w:rsidRPr="0005669E" w:rsidRDefault="00913AFD" w:rsidP="005A0762">
            <w:pPr>
              <w:contextualSpacing/>
              <w:jc w:val="both"/>
              <w:rPr>
                <w:b/>
              </w:rPr>
            </w:pPr>
            <w:r w:rsidRPr="0005669E">
              <w:rPr>
                <w:b/>
              </w:rPr>
              <w:t>Savivaldybės valdymo programa</w:t>
            </w:r>
          </w:p>
        </w:tc>
      </w:tr>
      <w:tr w:rsidR="00913AFD" w:rsidRPr="0005669E" w:rsidTr="005A0762">
        <w:trPr>
          <w:cantSplit/>
          <w:trHeight w:val="185"/>
        </w:trPr>
        <w:tc>
          <w:tcPr>
            <w:tcW w:w="1602" w:type="dxa"/>
            <w:shd w:val="clear" w:color="auto" w:fill="auto"/>
            <w:hideMark/>
          </w:tcPr>
          <w:p w:rsidR="00913AFD" w:rsidRPr="0005669E" w:rsidRDefault="00913AFD" w:rsidP="005A0762">
            <w:pPr>
              <w:tabs>
                <w:tab w:val="left" w:pos="1296"/>
                <w:tab w:val="center" w:pos="4153"/>
                <w:tab w:val="right" w:pos="8306"/>
              </w:tabs>
              <w:contextualSpacing/>
              <w:jc w:val="center"/>
              <w:rPr>
                <w:b/>
              </w:rPr>
            </w:pPr>
            <w:r w:rsidRPr="0005669E">
              <w:rPr>
                <w:b/>
              </w:rPr>
              <w:t>04</w:t>
            </w:r>
          </w:p>
        </w:tc>
        <w:tc>
          <w:tcPr>
            <w:tcW w:w="8283" w:type="dxa"/>
            <w:gridSpan w:val="2"/>
            <w:shd w:val="clear" w:color="auto" w:fill="auto"/>
            <w:hideMark/>
          </w:tcPr>
          <w:p w:rsidR="00913AFD" w:rsidRPr="0005669E" w:rsidRDefault="00913AFD" w:rsidP="005A0762">
            <w:pPr>
              <w:tabs>
                <w:tab w:val="left" w:pos="1296"/>
                <w:tab w:val="center" w:pos="4153"/>
                <w:tab w:val="right" w:pos="8306"/>
              </w:tabs>
              <w:contextualSpacing/>
              <w:rPr>
                <w:b/>
              </w:rPr>
            </w:pPr>
            <w:r w:rsidRPr="0005669E">
              <w:rPr>
                <w:b/>
              </w:rPr>
              <w:t>Smulkiojo ir vidutinio verslo rėmimo programa</w:t>
            </w:r>
          </w:p>
        </w:tc>
      </w:tr>
      <w:tr w:rsidR="00913AFD" w:rsidRPr="0005669E" w:rsidTr="005A0762">
        <w:trPr>
          <w:cantSplit/>
          <w:trHeight w:val="185"/>
        </w:trPr>
        <w:tc>
          <w:tcPr>
            <w:tcW w:w="9885" w:type="dxa"/>
            <w:gridSpan w:val="3"/>
            <w:tcBorders>
              <w:bottom w:val="single" w:sz="4" w:space="0" w:color="auto"/>
            </w:tcBorders>
            <w:shd w:val="clear" w:color="auto" w:fill="auto"/>
          </w:tcPr>
          <w:p w:rsidR="00913AFD" w:rsidRPr="0005669E" w:rsidRDefault="00913AFD" w:rsidP="005A0762">
            <w:pPr>
              <w:tabs>
                <w:tab w:val="left" w:pos="1296"/>
                <w:tab w:val="center" w:pos="4153"/>
                <w:tab w:val="right" w:pos="8306"/>
              </w:tabs>
              <w:contextualSpacing/>
              <w:rPr>
                <w:b/>
              </w:rPr>
            </w:pPr>
          </w:p>
          <w:p w:rsidR="00913AFD" w:rsidRPr="0005669E" w:rsidRDefault="00913AFD" w:rsidP="005A0762">
            <w:pPr>
              <w:tabs>
                <w:tab w:val="left" w:pos="1296"/>
                <w:tab w:val="center" w:pos="4153"/>
                <w:tab w:val="right" w:pos="8306"/>
              </w:tabs>
              <w:contextualSpacing/>
              <w:rPr>
                <w:b/>
              </w:rPr>
            </w:pPr>
            <w:r w:rsidRPr="0005669E">
              <w:rPr>
                <w:b/>
              </w:rPr>
              <w:t>Efekto kriterijai:</w:t>
            </w:r>
          </w:p>
          <w:p w:rsidR="00913AFD" w:rsidRPr="0005669E" w:rsidRDefault="00913AFD" w:rsidP="005A0762">
            <w:pPr>
              <w:tabs>
                <w:tab w:val="left" w:pos="1296"/>
                <w:tab w:val="center" w:pos="4153"/>
                <w:tab w:val="right" w:pos="8306"/>
              </w:tabs>
              <w:contextualSpacing/>
              <w:rPr>
                <w:b/>
              </w:rPr>
            </w:pPr>
          </w:p>
          <w:p w:rsidR="00913AFD" w:rsidRPr="0005669E" w:rsidRDefault="00913AFD" w:rsidP="005A0762">
            <w:pPr>
              <w:tabs>
                <w:tab w:val="left" w:pos="1296"/>
                <w:tab w:val="center" w:pos="4153"/>
                <w:tab w:val="right" w:pos="8306"/>
              </w:tabs>
              <w:contextualSpacing/>
              <w:jc w:val="center"/>
              <w:rPr>
                <w:b/>
              </w:rPr>
            </w:pPr>
            <w:r w:rsidRPr="0005669E">
              <w:rPr>
                <w:b/>
              </w:rPr>
              <w:t xml:space="preserve">E-01-01 </w:t>
            </w:r>
            <w:proofErr w:type="spellStart"/>
            <w:r w:rsidRPr="0005669E">
              <w:rPr>
                <w:b/>
              </w:rPr>
              <w:t>Verslumo</w:t>
            </w:r>
            <w:proofErr w:type="spellEnd"/>
            <w:r w:rsidRPr="0005669E">
              <w:rPr>
                <w:b/>
              </w:rPr>
              <w:t xml:space="preserve"> lygis (SVV įmonių skaičius, tenkantis 1000-iui gyventojų) - &gt; 30</w:t>
            </w:r>
          </w:p>
          <w:p w:rsidR="00913AFD" w:rsidRPr="0005669E" w:rsidRDefault="00913AFD" w:rsidP="005A0762">
            <w:pPr>
              <w:tabs>
                <w:tab w:val="left" w:pos="1296"/>
                <w:tab w:val="center" w:pos="4153"/>
                <w:tab w:val="right" w:pos="8306"/>
              </w:tabs>
              <w:contextualSpacing/>
              <w:rPr>
                <w:b/>
              </w:rPr>
            </w:pPr>
            <w:r w:rsidRPr="0005669E">
              <w:rPr>
                <w:b/>
                <w:bCs/>
                <w:noProof/>
                <w:lang w:eastAsia="lt-LT"/>
              </w:rPr>
              <w:drawing>
                <wp:inline distT="0" distB="0" distL="0" distR="0" wp14:anchorId="2959E3E6" wp14:editId="7888A5B3">
                  <wp:extent cx="6106602" cy="2210462"/>
                  <wp:effectExtent l="0" t="0" r="0" b="0"/>
                  <wp:docPr id="1" name="Diagrama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3AFD" w:rsidRPr="0005669E" w:rsidRDefault="00913AFD" w:rsidP="005A0762">
            <w:pPr>
              <w:tabs>
                <w:tab w:val="left" w:pos="1296"/>
                <w:tab w:val="center" w:pos="4153"/>
                <w:tab w:val="right" w:pos="8306"/>
              </w:tabs>
              <w:contextualSpacing/>
              <w:jc w:val="center"/>
              <w:rPr>
                <w:sz w:val="20"/>
                <w:szCs w:val="20"/>
              </w:rPr>
            </w:pPr>
            <w:r w:rsidRPr="0005669E">
              <w:rPr>
                <w:sz w:val="20"/>
                <w:szCs w:val="20"/>
              </w:rPr>
              <w:t>Duomenų šaltinis: Statistikos departamentas prie Lietuvos Respublikos Vyriausybės, 2014 m.</w:t>
            </w:r>
          </w:p>
          <w:p w:rsidR="00913AFD" w:rsidRPr="0005669E" w:rsidRDefault="00913AFD" w:rsidP="005A0762">
            <w:pPr>
              <w:tabs>
                <w:tab w:val="left" w:pos="1296"/>
                <w:tab w:val="center" w:pos="4153"/>
                <w:tab w:val="right" w:pos="8306"/>
              </w:tabs>
              <w:contextualSpacing/>
              <w:jc w:val="center"/>
              <w:rPr>
                <w:sz w:val="20"/>
                <w:szCs w:val="20"/>
              </w:rPr>
            </w:pPr>
          </w:p>
          <w:p w:rsidR="00913AFD" w:rsidRPr="0005669E" w:rsidRDefault="00913AFD" w:rsidP="005A0762">
            <w:pPr>
              <w:tabs>
                <w:tab w:val="left" w:pos="1296"/>
                <w:tab w:val="center" w:pos="4153"/>
                <w:tab w:val="right" w:pos="8306"/>
              </w:tabs>
              <w:contextualSpacing/>
              <w:jc w:val="center"/>
              <w:rPr>
                <w:sz w:val="20"/>
                <w:szCs w:val="20"/>
              </w:rPr>
            </w:pPr>
          </w:p>
          <w:p w:rsidR="00913AFD" w:rsidRPr="0005669E" w:rsidRDefault="00913AFD" w:rsidP="005A0762">
            <w:pPr>
              <w:tabs>
                <w:tab w:val="left" w:pos="1296"/>
                <w:tab w:val="center" w:pos="4153"/>
                <w:tab w:val="right" w:pos="8306"/>
              </w:tabs>
              <w:contextualSpacing/>
              <w:jc w:val="center"/>
              <w:rPr>
                <w:sz w:val="20"/>
                <w:szCs w:val="20"/>
              </w:rPr>
            </w:pPr>
            <w:r w:rsidRPr="0005669E">
              <w:rPr>
                <w:b/>
                <w:bCs/>
              </w:rPr>
              <w:t>E-01-02 Vidutinis registruotų bedarbių procentas nuo darbingo amžiaus gyventojų (%) &lt;8%</w:t>
            </w:r>
          </w:p>
          <w:p w:rsidR="00913AFD" w:rsidRPr="0005669E" w:rsidRDefault="00913AFD" w:rsidP="005A0762">
            <w:pPr>
              <w:tabs>
                <w:tab w:val="left" w:pos="1296"/>
                <w:tab w:val="center" w:pos="4153"/>
                <w:tab w:val="right" w:pos="8306"/>
              </w:tabs>
              <w:contextualSpacing/>
              <w:jc w:val="center"/>
              <w:rPr>
                <w:b/>
              </w:rPr>
            </w:pPr>
            <w:r w:rsidRPr="0005669E">
              <w:rPr>
                <w:b/>
                <w:bCs/>
                <w:noProof/>
                <w:lang w:eastAsia="lt-LT"/>
              </w:rPr>
              <w:drawing>
                <wp:inline distT="0" distB="0" distL="0" distR="0" wp14:anchorId="2D49B83E" wp14:editId="002DF1E0">
                  <wp:extent cx="5844209" cy="2075291"/>
                  <wp:effectExtent l="0" t="0" r="0" b="0"/>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AFD" w:rsidRPr="0005669E" w:rsidRDefault="00913AFD" w:rsidP="005A0762">
            <w:pPr>
              <w:tabs>
                <w:tab w:val="left" w:pos="1296"/>
                <w:tab w:val="center" w:pos="4153"/>
                <w:tab w:val="right" w:pos="8306"/>
              </w:tabs>
              <w:contextualSpacing/>
              <w:jc w:val="center"/>
              <w:rPr>
                <w:b/>
              </w:rPr>
            </w:pPr>
            <w:r w:rsidRPr="0005669E">
              <w:rPr>
                <w:sz w:val="20"/>
                <w:szCs w:val="20"/>
              </w:rPr>
              <w:t xml:space="preserve">Duomenų šaltinis: </w:t>
            </w:r>
            <w:r w:rsidRPr="0005669E">
              <w:rPr>
                <w:bCs/>
                <w:sz w:val="20"/>
                <w:szCs w:val="20"/>
              </w:rPr>
              <w:t>Lietuvos darbo birža, 2014 m.</w:t>
            </w:r>
          </w:p>
          <w:p w:rsidR="00913AFD" w:rsidRPr="0005669E" w:rsidRDefault="00913AFD" w:rsidP="005A0762">
            <w:pPr>
              <w:tabs>
                <w:tab w:val="left" w:pos="1296"/>
                <w:tab w:val="center" w:pos="4153"/>
                <w:tab w:val="right" w:pos="8306"/>
              </w:tabs>
              <w:contextualSpacing/>
              <w:jc w:val="center"/>
              <w:rPr>
                <w:b/>
              </w:rPr>
            </w:pPr>
          </w:p>
          <w:p w:rsidR="00913AFD" w:rsidRPr="0005669E" w:rsidRDefault="00913AFD" w:rsidP="005A0762">
            <w:pPr>
              <w:tabs>
                <w:tab w:val="left" w:pos="1296"/>
                <w:tab w:val="center" w:pos="4153"/>
                <w:tab w:val="right" w:pos="8306"/>
              </w:tabs>
              <w:contextualSpacing/>
              <w:jc w:val="center"/>
              <w:rPr>
                <w:b/>
              </w:rPr>
            </w:pPr>
          </w:p>
        </w:tc>
      </w:tr>
      <w:tr w:rsidR="00913AFD" w:rsidRPr="0005669E" w:rsidTr="005A0762">
        <w:trPr>
          <w:cantSplit/>
          <w:trHeight w:val="185"/>
        </w:trPr>
        <w:tc>
          <w:tcPr>
            <w:tcW w:w="9885" w:type="dxa"/>
            <w:gridSpan w:val="3"/>
            <w:shd w:val="clear" w:color="auto" w:fill="D9D9D9" w:themeFill="background1" w:themeFillShade="D9"/>
          </w:tcPr>
          <w:p w:rsidR="00913AFD" w:rsidRPr="0005669E" w:rsidRDefault="00913AFD" w:rsidP="005A0762">
            <w:pPr>
              <w:tabs>
                <w:tab w:val="left" w:pos="1296"/>
                <w:tab w:val="center" w:pos="4153"/>
                <w:tab w:val="right" w:pos="8306"/>
              </w:tabs>
              <w:contextualSpacing/>
              <w:rPr>
                <w:b/>
              </w:rPr>
            </w:pPr>
            <w:r w:rsidRPr="0005669E">
              <w:rPr>
                <w:b/>
                <w:shd w:val="clear" w:color="auto" w:fill="E0E0E0"/>
              </w:rPr>
              <w:t>02 STRATEGINIS TIKSLAS – k</w:t>
            </w:r>
            <w:r w:rsidRPr="0005669E">
              <w:rPr>
                <w:b/>
                <w:bCs/>
                <w:shd w:val="clear" w:color="auto" w:fill="E0E0E0"/>
              </w:rPr>
              <w:t>urti mieste patrauklią, švarią ir saugią gyvenamąją aplinką</w:t>
            </w:r>
          </w:p>
        </w:tc>
      </w:tr>
      <w:tr w:rsidR="00913AFD" w:rsidRPr="0005669E" w:rsidTr="005A0762">
        <w:trPr>
          <w:cantSplit/>
          <w:trHeight w:val="57"/>
        </w:trPr>
        <w:tc>
          <w:tcPr>
            <w:tcW w:w="1668" w:type="dxa"/>
            <w:gridSpan w:val="2"/>
            <w:shd w:val="clear" w:color="auto" w:fill="FFFFFF" w:themeFill="background1"/>
          </w:tcPr>
          <w:p w:rsidR="00913AFD" w:rsidRPr="0005669E" w:rsidRDefault="00913AFD" w:rsidP="005A0762">
            <w:pPr>
              <w:tabs>
                <w:tab w:val="left" w:pos="1296"/>
                <w:tab w:val="center" w:pos="4153"/>
                <w:tab w:val="right" w:pos="8306"/>
              </w:tabs>
              <w:contextualSpacing/>
              <w:jc w:val="center"/>
              <w:rPr>
                <w:shd w:val="clear" w:color="auto" w:fill="E0E0E0"/>
              </w:rPr>
            </w:pPr>
            <w:r w:rsidRPr="0005669E">
              <w:t>Kodas</w:t>
            </w:r>
          </w:p>
        </w:tc>
        <w:tc>
          <w:tcPr>
            <w:tcW w:w="8217" w:type="dxa"/>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t>Įgyvendinant šį strateginį tikslą, vykdomos programos:</w:t>
            </w:r>
          </w:p>
        </w:tc>
      </w:tr>
      <w:tr w:rsidR="00913AFD" w:rsidRPr="0005669E" w:rsidTr="005A0762">
        <w:trPr>
          <w:cantSplit/>
          <w:trHeight w:val="56"/>
        </w:trPr>
        <w:tc>
          <w:tcPr>
            <w:tcW w:w="1668" w:type="dxa"/>
            <w:gridSpan w:val="2"/>
            <w:shd w:val="clear" w:color="auto" w:fill="FFFFFF" w:themeFill="background1"/>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shd w:val="clear" w:color="auto" w:fill="FFFFFF" w:themeFill="background1"/>
              </w:rPr>
              <w:t>05</w:t>
            </w:r>
          </w:p>
        </w:tc>
        <w:tc>
          <w:tcPr>
            <w:tcW w:w="8217" w:type="dxa"/>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rPr>
                <w:b/>
              </w:rPr>
              <w:t>Aplinkos apsaugos programa</w:t>
            </w:r>
          </w:p>
        </w:tc>
      </w:tr>
      <w:tr w:rsidR="00913AFD" w:rsidRPr="0005669E" w:rsidTr="005A0762">
        <w:trPr>
          <w:cantSplit/>
          <w:trHeight w:val="56"/>
        </w:trPr>
        <w:tc>
          <w:tcPr>
            <w:tcW w:w="1668" w:type="dxa"/>
            <w:gridSpan w:val="2"/>
            <w:shd w:val="clear" w:color="auto" w:fill="FFFFFF" w:themeFill="background1"/>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shd w:val="clear" w:color="auto" w:fill="FFFFFF" w:themeFill="background1"/>
              </w:rPr>
              <w:t>06</w:t>
            </w:r>
          </w:p>
        </w:tc>
        <w:tc>
          <w:tcPr>
            <w:tcW w:w="8217" w:type="dxa"/>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rPr>
                <w:b/>
              </w:rPr>
              <w:t>Susisiekimo sistemos priežiūros ir plėtros programa</w:t>
            </w:r>
          </w:p>
        </w:tc>
      </w:tr>
      <w:tr w:rsidR="00913AFD" w:rsidRPr="0005669E" w:rsidTr="005A0762">
        <w:trPr>
          <w:cantSplit/>
          <w:trHeight w:val="56"/>
        </w:trPr>
        <w:tc>
          <w:tcPr>
            <w:tcW w:w="1668" w:type="dxa"/>
            <w:gridSpan w:val="2"/>
            <w:shd w:val="clear" w:color="auto" w:fill="FFFFFF" w:themeFill="background1"/>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shd w:val="clear" w:color="auto" w:fill="FFFFFF" w:themeFill="background1"/>
              </w:rPr>
              <w:t>07</w:t>
            </w:r>
          </w:p>
        </w:tc>
        <w:tc>
          <w:tcPr>
            <w:tcW w:w="8217" w:type="dxa"/>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rPr>
                <w:b/>
              </w:rPr>
              <w:t>Miesto infrastruktūros objektų priežiūros ir modernizavimo programa</w:t>
            </w:r>
          </w:p>
        </w:tc>
      </w:tr>
      <w:tr w:rsidR="00913AFD" w:rsidRPr="0005669E" w:rsidTr="005A0762">
        <w:trPr>
          <w:cantSplit/>
          <w:trHeight w:val="185"/>
        </w:trPr>
        <w:tc>
          <w:tcPr>
            <w:tcW w:w="9885" w:type="dxa"/>
            <w:gridSpan w:val="3"/>
            <w:tcBorders>
              <w:bottom w:val="single" w:sz="4" w:space="0" w:color="auto"/>
            </w:tcBorders>
            <w:shd w:val="clear" w:color="auto" w:fill="auto"/>
          </w:tcPr>
          <w:p w:rsidR="00913AFD" w:rsidRPr="0005669E" w:rsidRDefault="00913AFD" w:rsidP="005A0762">
            <w:pPr>
              <w:tabs>
                <w:tab w:val="left" w:pos="1296"/>
                <w:tab w:val="center" w:pos="4153"/>
                <w:tab w:val="right" w:pos="8306"/>
              </w:tabs>
              <w:contextualSpacing/>
              <w:rPr>
                <w:b/>
                <w:bCs/>
              </w:rPr>
            </w:pPr>
          </w:p>
          <w:p w:rsidR="00913AFD" w:rsidRPr="0005669E" w:rsidRDefault="00913AFD" w:rsidP="005A0762">
            <w:pPr>
              <w:tabs>
                <w:tab w:val="left" w:pos="1296"/>
                <w:tab w:val="center" w:pos="4153"/>
                <w:tab w:val="right" w:pos="8306"/>
              </w:tabs>
              <w:contextualSpacing/>
              <w:rPr>
                <w:b/>
                <w:bCs/>
              </w:rPr>
            </w:pPr>
            <w:r w:rsidRPr="0005669E">
              <w:rPr>
                <w:b/>
                <w:bCs/>
              </w:rPr>
              <w:t>Efekto kriterijai:</w:t>
            </w:r>
          </w:p>
          <w:p w:rsidR="00913AFD" w:rsidRPr="0005669E" w:rsidRDefault="00913AFD" w:rsidP="005A0762">
            <w:pPr>
              <w:tabs>
                <w:tab w:val="left" w:pos="1296"/>
                <w:tab w:val="center" w:pos="4153"/>
                <w:tab w:val="right" w:pos="8306"/>
              </w:tabs>
              <w:contextualSpacing/>
              <w:rPr>
                <w:b/>
                <w:bCs/>
              </w:rPr>
            </w:pPr>
          </w:p>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bCs/>
              </w:rPr>
              <w:t>E-02-01 Aplinkos oro kokybė, neviršijanti didžiausių leistinų koncentracijų</w:t>
            </w:r>
            <w:r w:rsidRPr="0005669E">
              <w:rPr>
                <w:bCs/>
              </w:rPr>
              <w:t xml:space="preserve"> (</w:t>
            </w:r>
            <w:r w:rsidRPr="0005669E">
              <w:rPr>
                <w:b/>
                <w:bCs/>
              </w:rPr>
              <w:t>DLK&lt;1)</w:t>
            </w:r>
          </w:p>
          <w:p w:rsidR="00913AFD" w:rsidRPr="0005669E" w:rsidRDefault="00913AFD" w:rsidP="005A0762">
            <w:pPr>
              <w:tabs>
                <w:tab w:val="left" w:pos="1296"/>
                <w:tab w:val="center" w:pos="4153"/>
                <w:tab w:val="right" w:pos="8306"/>
              </w:tabs>
              <w:contextualSpacing/>
              <w:rPr>
                <w:b/>
                <w:shd w:val="clear" w:color="auto" w:fill="E0E0E0"/>
              </w:rPr>
            </w:pPr>
            <w:r w:rsidRPr="0005669E">
              <w:rPr>
                <w:rFonts w:asciiTheme="minorHAnsi" w:eastAsiaTheme="minorHAnsi" w:hAnsiTheme="minorHAnsi" w:cstheme="minorBidi"/>
                <w:b/>
                <w:bCs/>
                <w:noProof/>
                <w:sz w:val="20"/>
                <w:szCs w:val="20"/>
                <w:lang w:eastAsia="lt-LT"/>
              </w:rPr>
              <w:drawing>
                <wp:inline distT="0" distB="0" distL="0" distR="0" wp14:anchorId="7DA4DF8F" wp14:editId="39217234">
                  <wp:extent cx="5947576" cy="2695492"/>
                  <wp:effectExtent l="0" t="0" r="0" b="0"/>
                  <wp:docPr id="3" name="Diagrama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AFD" w:rsidRPr="0005669E" w:rsidRDefault="00913AFD" w:rsidP="005A0762">
            <w:pPr>
              <w:tabs>
                <w:tab w:val="left" w:pos="1296"/>
                <w:tab w:val="center" w:pos="4153"/>
                <w:tab w:val="right" w:pos="8306"/>
              </w:tabs>
              <w:contextualSpacing/>
              <w:rPr>
                <w:b/>
                <w:shd w:val="clear" w:color="auto" w:fill="E0E0E0"/>
              </w:rPr>
            </w:pPr>
          </w:p>
          <w:p w:rsidR="00913AFD" w:rsidRPr="0005669E" w:rsidRDefault="00913AFD" w:rsidP="005A0762">
            <w:pPr>
              <w:tabs>
                <w:tab w:val="left" w:pos="1296"/>
                <w:tab w:val="center" w:pos="4153"/>
                <w:tab w:val="right" w:pos="8306"/>
              </w:tabs>
              <w:contextualSpacing/>
              <w:jc w:val="center"/>
              <w:rPr>
                <w:bCs/>
                <w:sz w:val="20"/>
                <w:szCs w:val="20"/>
              </w:rPr>
            </w:pPr>
            <w:r w:rsidRPr="0005669E">
              <w:rPr>
                <w:bCs/>
                <w:sz w:val="20"/>
                <w:szCs w:val="20"/>
              </w:rPr>
              <w:t xml:space="preserve">Duomenų šaltinis: Lietuvos aplinkos apsaugos agentūra, portalas </w:t>
            </w:r>
            <w:proofErr w:type="spellStart"/>
            <w:r w:rsidRPr="0005669E">
              <w:rPr>
                <w:bCs/>
                <w:sz w:val="20"/>
                <w:szCs w:val="20"/>
              </w:rPr>
              <w:t>www.gamta.lt</w:t>
            </w:r>
            <w:proofErr w:type="spellEnd"/>
            <w:r w:rsidRPr="0005669E">
              <w:rPr>
                <w:bCs/>
                <w:sz w:val="20"/>
                <w:szCs w:val="20"/>
              </w:rPr>
              <w:t>, 2014 m.</w:t>
            </w:r>
          </w:p>
          <w:p w:rsidR="00913AFD" w:rsidRPr="0005669E" w:rsidRDefault="00913AFD" w:rsidP="005A0762">
            <w:pPr>
              <w:tabs>
                <w:tab w:val="left" w:pos="1296"/>
                <w:tab w:val="center" w:pos="4153"/>
                <w:tab w:val="right" w:pos="8306"/>
              </w:tabs>
              <w:contextualSpacing/>
              <w:jc w:val="center"/>
              <w:rPr>
                <w:b/>
                <w:shd w:val="clear" w:color="auto" w:fill="E0E0E0"/>
              </w:rPr>
            </w:pPr>
          </w:p>
          <w:p w:rsidR="00913AFD" w:rsidRPr="0005669E" w:rsidRDefault="00913AFD" w:rsidP="005A0762">
            <w:pPr>
              <w:tabs>
                <w:tab w:val="left" w:pos="1296"/>
                <w:tab w:val="center" w:pos="4153"/>
                <w:tab w:val="right" w:pos="8306"/>
              </w:tabs>
              <w:contextualSpacing/>
              <w:jc w:val="center"/>
              <w:rPr>
                <w:b/>
                <w:shd w:val="clear" w:color="auto" w:fill="E0E0E0"/>
              </w:rPr>
            </w:pPr>
            <w:r w:rsidRPr="001A20F8">
              <w:rPr>
                <w:rFonts w:eastAsiaTheme="minorHAnsi"/>
                <w:b/>
              </w:rPr>
              <w:t xml:space="preserve">E-02-02 </w:t>
            </w:r>
            <w:r w:rsidRPr="0005669E">
              <w:rPr>
                <w:rFonts w:eastAsiaTheme="minorHAnsi"/>
                <w:b/>
              </w:rPr>
              <w:t xml:space="preserve">Avaringumo lygis (kelių eismo įvykių skaičius 100 000 </w:t>
            </w:r>
            <w:proofErr w:type="spellStart"/>
            <w:r w:rsidRPr="0005669E">
              <w:rPr>
                <w:rFonts w:eastAsiaTheme="minorHAnsi"/>
                <w:b/>
              </w:rPr>
              <w:t>gyv</w:t>
            </w:r>
            <w:proofErr w:type="spellEnd"/>
            <w:r w:rsidRPr="0005669E">
              <w:rPr>
                <w:rFonts w:eastAsiaTheme="minorHAnsi"/>
                <w:b/>
              </w:rPr>
              <w:t>.) &lt;140</w:t>
            </w:r>
          </w:p>
          <w:p w:rsidR="00913AFD" w:rsidRPr="0005669E" w:rsidRDefault="00913AFD" w:rsidP="005A0762">
            <w:pPr>
              <w:tabs>
                <w:tab w:val="left" w:pos="1296"/>
                <w:tab w:val="center" w:pos="4153"/>
                <w:tab w:val="right" w:pos="8306"/>
              </w:tabs>
              <w:contextualSpacing/>
              <w:rPr>
                <w:b/>
                <w:shd w:val="clear" w:color="auto" w:fill="E0E0E0"/>
              </w:rPr>
            </w:pPr>
            <w:r w:rsidRPr="0005669E">
              <w:rPr>
                <w:rFonts w:asciiTheme="minorHAnsi" w:eastAsiaTheme="minorHAnsi" w:hAnsiTheme="minorHAnsi" w:cstheme="minorBidi"/>
                <w:b/>
                <w:noProof/>
                <w:lang w:eastAsia="lt-LT"/>
              </w:rPr>
              <w:drawing>
                <wp:inline distT="0" distB="0" distL="0" distR="0" wp14:anchorId="5327037D" wp14:editId="1ABDC102">
                  <wp:extent cx="5899868" cy="1828800"/>
                  <wp:effectExtent l="0" t="0" r="5715" b="0"/>
                  <wp:docPr id="4" name="Diagrama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3AFD" w:rsidRPr="0005669E" w:rsidRDefault="00913AFD" w:rsidP="005A0762">
            <w:pPr>
              <w:tabs>
                <w:tab w:val="left" w:pos="1296"/>
                <w:tab w:val="center" w:pos="4153"/>
                <w:tab w:val="right" w:pos="8306"/>
              </w:tabs>
              <w:contextualSpacing/>
              <w:jc w:val="center"/>
              <w:rPr>
                <w:sz w:val="20"/>
                <w:szCs w:val="20"/>
              </w:rPr>
            </w:pPr>
            <w:r w:rsidRPr="0005669E">
              <w:rPr>
                <w:bCs/>
                <w:sz w:val="20"/>
                <w:szCs w:val="20"/>
              </w:rPr>
              <w:t xml:space="preserve">Duomenų šaltinis: </w:t>
            </w:r>
            <w:r w:rsidRPr="0005669E">
              <w:rPr>
                <w:sz w:val="20"/>
                <w:szCs w:val="20"/>
              </w:rPr>
              <w:t>Statistikos departamentas prie Lietuvos Respublikos Vyriausybės, 2014 m.</w:t>
            </w:r>
          </w:p>
          <w:p w:rsidR="00913AFD" w:rsidRPr="0005669E" w:rsidRDefault="00913AFD" w:rsidP="005A0762">
            <w:pPr>
              <w:tabs>
                <w:tab w:val="left" w:pos="1296"/>
                <w:tab w:val="center" w:pos="4153"/>
                <w:tab w:val="right" w:pos="8306"/>
              </w:tabs>
              <w:contextualSpacing/>
              <w:jc w:val="center"/>
              <w:rPr>
                <w:b/>
                <w:shd w:val="clear" w:color="auto" w:fill="E0E0E0"/>
              </w:rPr>
            </w:pPr>
          </w:p>
          <w:p w:rsidR="00913AFD" w:rsidRPr="0005669E" w:rsidRDefault="00913AFD" w:rsidP="005A0762">
            <w:pPr>
              <w:tabs>
                <w:tab w:val="left" w:pos="1296"/>
                <w:tab w:val="center" w:pos="4153"/>
                <w:tab w:val="right" w:pos="8306"/>
              </w:tabs>
              <w:contextualSpacing/>
              <w:rPr>
                <w:b/>
                <w:shd w:val="clear" w:color="auto" w:fill="E0E0E0"/>
              </w:rPr>
            </w:pPr>
          </w:p>
        </w:tc>
      </w:tr>
      <w:tr w:rsidR="00913AFD" w:rsidRPr="0005669E" w:rsidTr="005A0762">
        <w:trPr>
          <w:cantSplit/>
          <w:trHeight w:val="185"/>
        </w:trPr>
        <w:tc>
          <w:tcPr>
            <w:tcW w:w="9885" w:type="dxa"/>
            <w:gridSpan w:val="3"/>
            <w:shd w:val="pct12"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rPr>
                <w:b/>
              </w:rPr>
              <w:t>03 STRATEGINIS TIKSLAS – užtikrinti gyventojams aukštą švietimo, kultūros, socialinių, sporto ir sveikatos apsaugos paslaugų kokybę ir prieinamumą</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t>Kodas</w:t>
            </w:r>
          </w:p>
        </w:tc>
        <w:tc>
          <w:tcPr>
            <w:tcW w:w="8217" w:type="dxa"/>
            <w:shd w:val="clear" w:color="auto" w:fill="auto"/>
          </w:tcPr>
          <w:p w:rsidR="00913AFD" w:rsidRPr="0005669E" w:rsidRDefault="00913AFD" w:rsidP="005A0762">
            <w:pPr>
              <w:tabs>
                <w:tab w:val="left" w:pos="1296"/>
                <w:tab w:val="center" w:pos="4153"/>
                <w:tab w:val="right" w:pos="8306"/>
              </w:tabs>
              <w:contextualSpacing/>
              <w:rPr>
                <w:b/>
                <w:shd w:val="clear" w:color="auto" w:fill="E0E0E0"/>
              </w:rPr>
            </w:pPr>
            <w:r w:rsidRPr="0005669E">
              <w:t>Įgyvendinant šį strateginį tikslą vykdomos programos:</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08</w:t>
            </w:r>
          </w:p>
        </w:tc>
        <w:tc>
          <w:tcPr>
            <w:tcW w:w="8217" w:type="dxa"/>
            <w:shd w:val="clear" w:color="auto" w:fill="auto"/>
          </w:tcPr>
          <w:p w:rsidR="00913AFD" w:rsidRPr="0005669E" w:rsidRDefault="00913AFD" w:rsidP="005A0762">
            <w:pPr>
              <w:tabs>
                <w:tab w:val="left" w:pos="1296"/>
                <w:tab w:val="center" w:pos="4153"/>
                <w:tab w:val="right" w:pos="8306"/>
              </w:tabs>
              <w:contextualSpacing/>
              <w:jc w:val="both"/>
            </w:pPr>
            <w:r w:rsidRPr="0005669E">
              <w:rPr>
                <w:b/>
              </w:rPr>
              <w:t xml:space="preserve">Miesto kultūrinio savitumo puoselėjimo bei kultūrinių paslaugų gerinimo programa </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09</w:t>
            </w:r>
          </w:p>
        </w:tc>
        <w:tc>
          <w:tcPr>
            <w:tcW w:w="8217" w:type="dxa"/>
            <w:shd w:val="clear" w:color="auto" w:fill="auto"/>
          </w:tcPr>
          <w:p w:rsidR="00913AFD" w:rsidRPr="0005669E" w:rsidRDefault="00913AFD" w:rsidP="005A0762">
            <w:pPr>
              <w:tabs>
                <w:tab w:val="left" w:pos="1296"/>
                <w:tab w:val="center" w:pos="4153"/>
                <w:tab w:val="right" w:pos="8306"/>
              </w:tabs>
              <w:contextualSpacing/>
              <w:rPr>
                <w:b/>
              </w:rPr>
            </w:pPr>
            <w:r w:rsidRPr="0005669E">
              <w:rPr>
                <w:b/>
                <w:bCs/>
              </w:rPr>
              <w:t xml:space="preserve">Jaunimo politikos plėtros </w:t>
            </w:r>
            <w:r w:rsidRPr="0005669E">
              <w:rPr>
                <w:b/>
              </w:rPr>
              <w:t xml:space="preserve">programa </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10</w:t>
            </w:r>
          </w:p>
        </w:tc>
        <w:tc>
          <w:tcPr>
            <w:tcW w:w="8217" w:type="dxa"/>
            <w:shd w:val="clear" w:color="auto" w:fill="auto"/>
          </w:tcPr>
          <w:p w:rsidR="00913AFD" w:rsidRPr="0005669E" w:rsidRDefault="00913AFD" w:rsidP="005A0762">
            <w:pPr>
              <w:tabs>
                <w:tab w:val="left" w:pos="1296"/>
                <w:tab w:val="center" w:pos="4153"/>
                <w:tab w:val="right" w:pos="8306"/>
              </w:tabs>
              <w:contextualSpacing/>
              <w:rPr>
                <w:b/>
              </w:rPr>
            </w:pPr>
            <w:r w:rsidRPr="0005669E">
              <w:rPr>
                <w:b/>
              </w:rPr>
              <w:t>Ugdymo proceso užtikrinimo programa</w:t>
            </w:r>
            <w:r w:rsidRPr="0005669E">
              <w:rPr>
                <w:b/>
                <w:bCs/>
              </w:rPr>
              <w:t xml:space="preserve"> </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11</w:t>
            </w:r>
          </w:p>
        </w:tc>
        <w:tc>
          <w:tcPr>
            <w:tcW w:w="8217" w:type="dxa"/>
            <w:shd w:val="clear" w:color="auto" w:fill="auto"/>
          </w:tcPr>
          <w:p w:rsidR="00913AFD" w:rsidRPr="0005669E" w:rsidRDefault="00913AFD" w:rsidP="005A0762">
            <w:pPr>
              <w:tabs>
                <w:tab w:val="left" w:pos="1296"/>
                <w:tab w:val="center" w:pos="4153"/>
                <w:tab w:val="right" w:pos="8306"/>
              </w:tabs>
              <w:contextualSpacing/>
              <w:rPr>
                <w:b/>
              </w:rPr>
            </w:pPr>
            <w:r w:rsidRPr="0005669E">
              <w:rPr>
                <w:b/>
                <w:bCs/>
              </w:rPr>
              <w:t>Kūno kultūros ir sporto plėtros programa</w:t>
            </w:r>
            <w:r w:rsidRPr="0005669E">
              <w:rPr>
                <w:b/>
              </w:rPr>
              <w:t xml:space="preserve"> </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12</w:t>
            </w:r>
          </w:p>
        </w:tc>
        <w:tc>
          <w:tcPr>
            <w:tcW w:w="8217" w:type="dxa"/>
            <w:shd w:val="clear" w:color="auto" w:fill="auto"/>
          </w:tcPr>
          <w:p w:rsidR="00913AFD" w:rsidRPr="0005669E" w:rsidRDefault="00913AFD" w:rsidP="005A0762">
            <w:pPr>
              <w:tabs>
                <w:tab w:val="left" w:pos="1296"/>
                <w:tab w:val="center" w:pos="4153"/>
                <w:tab w:val="right" w:pos="8306"/>
              </w:tabs>
              <w:contextualSpacing/>
              <w:rPr>
                <w:b/>
              </w:rPr>
            </w:pPr>
            <w:r w:rsidRPr="0005669E">
              <w:rPr>
                <w:b/>
              </w:rPr>
              <w:t>Socialinės atskirties mažinimo programa</w:t>
            </w:r>
            <w:r w:rsidRPr="0005669E">
              <w:rPr>
                <w:b/>
                <w:bCs/>
              </w:rPr>
              <w:t xml:space="preserve"> </w:t>
            </w:r>
          </w:p>
        </w:tc>
      </w:tr>
      <w:tr w:rsidR="00913AFD" w:rsidRPr="0005669E" w:rsidTr="005A0762">
        <w:trPr>
          <w:cantSplit/>
          <w:trHeight w:val="75"/>
        </w:trPr>
        <w:tc>
          <w:tcPr>
            <w:tcW w:w="1668" w:type="dxa"/>
            <w:gridSpan w:val="2"/>
            <w:shd w:val="clear" w:color="auto" w:fill="auto"/>
          </w:tcPr>
          <w:p w:rsidR="00913AFD" w:rsidRPr="0005669E" w:rsidRDefault="00913AFD" w:rsidP="005A0762">
            <w:pPr>
              <w:tabs>
                <w:tab w:val="left" w:pos="1296"/>
                <w:tab w:val="center" w:pos="4153"/>
                <w:tab w:val="right" w:pos="8306"/>
              </w:tabs>
              <w:contextualSpacing/>
              <w:jc w:val="center"/>
              <w:rPr>
                <w:b/>
                <w:shd w:val="clear" w:color="auto" w:fill="E0E0E0"/>
              </w:rPr>
            </w:pPr>
            <w:r w:rsidRPr="0005669E">
              <w:rPr>
                <w:b/>
              </w:rPr>
              <w:t>13</w:t>
            </w:r>
          </w:p>
        </w:tc>
        <w:tc>
          <w:tcPr>
            <w:tcW w:w="8217" w:type="dxa"/>
            <w:shd w:val="clear" w:color="auto" w:fill="auto"/>
          </w:tcPr>
          <w:p w:rsidR="00913AFD" w:rsidRPr="0005669E" w:rsidRDefault="00913AFD" w:rsidP="005A0762">
            <w:pPr>
              <w:rPr>
                <w:b/>
                <w:sz w:val="20"/>
                <w:szCs w:val="20"/>
              </w:rPr>
            </w:pPr>
            <w:r w:rsidRPr="0005669E">
              <w:rPr>
                <w:b/>
                <w:bCs/>
              </w:rPr>
              <w:t>Sveikatos apsaugos programa</w:t>
            </w:r>
          </w:p>
        </w:tc>
      </w:tr>
      <w:tr w:rsidR="00913AFD" w:rsidRPr="0005669E" w:rsidTr="005A0762">
        <w:trPr>
          <w:cantSplit/>
          <w:trHeight w:val="75"/>
        </w:trPr>
        <w:tc>
          <w:tcPr>
            <w:tcW w:w="9885" w:type="dxa"/>
            <w:gridSpan w:val="3"/>
            <w:shd w:val="clear" w:color="auto" w:fill="auto"/>
          </w:tcPr>
          <w:p w:rsidR="00913AFD" w:rsidRPr="0005669E" w:rsidRDefault="00913AFD" w:rsidP="005A0762">
            <w:pPr>
              <w:rPr>
                <w:b/>
                <w:bCs/>
              </w:rPr>
            </w:pPr>
            <w:r w:rsidRPr="0005669E">
              <w:rPr>
                <w:b/>
                <w:bCs/>
              </w:rPr>
              <w:lastRenderedPageBreak/>
              <w:t>Efekto kriterijai:</w:t>
            </w:r>
          </w:p>
          <w:p w:rsidR="00913AFD" w:rsidRPr="0005669E" w:rsidRDefault="00913AFD" w:rsidP="005A0762">
            <w:pPr>
              <w:jc w:val="center"/>
              <w:rPr>
                <w:b/>
                <w:bCs/>
              </w:rPr>
            </w:pPr>
            <w:r w:rsidRPr="0005669E">
              <w:rPr>
                <w:b/>
              </w:rPr>
              <w:t>E-03-01 Gyventojų skaičiaus pokytis  &lt;0%</w:t>
            </w:r>
          </w:p>
          <w:p w:rsidR="00913AFD" w:rsidRPr="0005669E" w:rsidRDefault="00913AFD" w:rsidP="005A0762">
            <w:pPr>
              <w:jc w:val="center"/>
              <w:rPr>
                <w:sz w:val="20"/>
                <w:szCs w:val="20"/>
              </w:rPr>
            </w:pPr>
            <w:r w:rsidRPr="0005669E">
              <w:rPr>
                <w:noProof/>
                <w:lang w:eastAsia="lt-LT"/>
              </w:rPr>
              <w:drawing>
                <wp:anchor distT="0" distB="0" distL="114300" distR="114300" simplePos="0" relativeHeight="251659264" behindDoc="0" locked="0" layoutInCell="1" allowOverlap="1" wp14:anchorId="7CA22118" wp14:editId="72DC9ED6">
                  <wp:simplePos x="0" y="0"/>
                  <wp:positionH relativeFrom="column">
                    <wp:posOffset>183515</wp:posOffset>
                  </wp:positionH>
                  <wp:positionV relativeFrom="paragraph">
                    <wp:posOffset>27940</wp:posOffset>
                  </wp:positionV>
                  <wp:extent cx="5692775" cy="1868170"/>
                  <wp:effectExtent l="0" t="0" r="3175" b="0"/>
                  <wp:wrapSquare wrapText="bothSides"/>
                  <wp:docPr id="5" name="Diagrama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5669E">
              <w:rPr>
                <w:sz w:val="20"/>
                <w:szCs w:val="20"/>
              </w:rPr>
              <w:t>Duomenų šaltinis: Statistikos departamentas prie Lietuvos Respublikos Vyriausybės, 2014 m.</w:t>
            </w:r>
          </w:p>
          <w:p w:rsidR="00913AFD" w:rsidRPr="0005669E" w:rsidRDefault="00913AFD" w:rsidP="005A0762">
            <w:pPr>
              <w:jc w:val="center"/>
              <w:rPr>
                <w:sz w:val="20"/>
                <w:szCs w:val="20"/>
              </w:rPr>
            </w:pPr>
          </w:p>
          <w:p w:rsidR="00913AFD" w:rsidRPr="0005669E" w:rsidRDefault="00913AFD" w:rsidP="005A0762">
            <w:pPr>
              <w:jc w:val="center"/>
              <w:rPr>
                <w:sz w:val="20"/>
                <w:szCs w:val="20"/>
              </w:rPr>
            </w:pPr>
            <w:r w:rsidRPr="0005669E">
              <w:rPr>
                <w:b/>
              </w:rPr>
              <w:t>E-03-02 Atitiktis valstybės mastu nustatytiems aprūpinimo socialinėmis paslaugomis normatyvams –100 %</w:t>
            </w:r>
          </w:p>
          <w:p w:rsidR="00913AFD" w:rsidRPr="0005669E" w:rsidRDefault="00913AFD" w:rsidP="005A0762">
            <w:pPr>
              <w:jc w:val="center"/>
              <w:rPr>
                <w:sz w:val="20"/>
                <w:szCs w:val="20"/>
              </w:rPr>
            </w:pPr>
            <w:r w:rsidRPr="0005669E">
              <w:rPr>
                <w:noProof/>
                <w:lang w:eastAsia="lt-LT"/>
              </w:rPr>
              <w:drawing>
                <wp:anchor distT="0" distB="0" distL="114300" distR="114300" simplePos="0" relativeHeight="251660288" behindDoc="0" locked="0" layoutInCell="1" allowOverlap="1" wp14:anchorId="14C6612B" wp14:editId="198A77FB">
                  <wp:simplePos x="0" y="0"/>
                  <wp:positionH relativeFrom="column">
                    <wp:posOffset>200025</wp:posOffset>
                  </wp:positionH>
                  <wp:positionV relativeFrom="paragraph">
                    <wp:posOffset>144780</wp:posOffset>
                  </wp:positionV>
                  <wp:extent cx="5732780" cy="2122805"/>
                  <wp:effectExtent l="0" t="0" r="0" b="0"/>
                  <wp:wrapSquare wrapText="bothSides"/>
                  <wp:docPr id="6" name="Diagrama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913AFD" w:rsidRPr="0005669E" w:rsidRDefault="00913AFD" w:rsidP="005A0762">
            <w:pPr>
              <w:jc w:val="center"/>
              <w:rPr>
                <w:sz w:val="20"/>
                <w:szCs w:val="20"/>
              </w:rPr>
            </w:pPr>
            <w:r w:rsidRPr="0005669E">
              <w:rPr>
                <w:sz w:val="20"/>
                <w:szCs w:val="20"/>
              </w:rPr>
              <w:t>Duomenų šaltinis: Klaipėdos miesto savivaldybės administracijos Socialinių reikalų departamentas, 2014 m</w:t>
            </w:r>
          </w:p>
          <w:p w:rsidR="00913AFD" w:rsidRPr="0005669E" w:rsidRDefault="00913AFD" w:rsidP="005A0762">
            <w:pPr>
              <w:jc w:val="center"/>
              <w:rPr>
                <w:sz w:val="20"/>
                <w:szCs w:val="20"/>
              </w:rPr>
            </w:pPr>
          </w:p>
          <w:p w:rsidR="00913AFD" w:rsidRPr="0005669E" w:rsidRDefault="00913AFD" w:rsidP="005A0762">
            <w:pPr>
              <w:jc w:val="center"/>
              <w:rPr>
                <w:b/>
                <w:bCs/>
              </w:rPr>
            </w:pPr>
          </w:p>
        </w:tc>
      </w:tr>
    </w:tbl>
    <w:p w:rsidR="00913AFD" w:rsidRPr="0005669E" w:rsidRDefault="00913AFD" w:rsidP="00913AFD">
      <w:pPr>
        <w:ind w:firstLine="709"/>
        <w:jc w:val="both"/>
        <w:rPr>
          <w:b/>
          <w:snapToGrid w:val="0"/>
          <w:color w:val="000000"/>
        </w:rPr>
      </w:pPr>
    </w:p>
    <w:p w:rsidR="00913AFD" w:rsidRPr="0005669E" w:rsidRDefault="00913AFD" w:rsidP="00913AFD">
      <w:pPr>
        <w:ind w:firstLine="748"/>
        <w:rPr>
          <w:b/>
          <w:bCs/>
        </w:rPr>
      </w:pPr>
      <w:r w:rsidRPr="0005669E">
        <w:rPr>
          <w:bCs/>
        </w:rPr>
        <w:t>PRIDEDAMA:</w:t>
      </w:r>
    </w:p>
    <w:p w:rsidR="00913AFD" w:rsidRPr="0005669E" w:rsidRDefault="00913AFD" w:rsidP="00913AFD">
      <w:pPr>
        <w:ind w:firstLine="748"/>
        <w:jc w:val="both"/>
      </w:pPr>
      <w:r w:rsidRPr="0005669E">
        <w:t xml:space="preserve">2015–2017 metų programų tikslų, uždavinių, priemonių, priemonių išlaidų ir produktų vertinimo kriterijų suvestinė (13 programų). </w:t>
      </w:r>
    </w:p>
    <w:p w:rsidR="00913AFD" w:rsidRPr="0005669E" w:rsidRDefault="00913AFD" w:rsidP="00913AFD">
      <w:pPr>
        <w:ind w:firstLine="748"/>
        <w:jc w:val="both"/>
        <w:rPr>
          <w:bCs/>
        </w:rPr>
      </w:pPr>
      <w:r w:rsidRPr="0005669E">
        <w:rPr>
          <w:bCs/>
        </w:rPr>
        <w:t>Priedas.</w:t>
      </w:r>
      <w:r w:rsidRPr="0005669E">
        <w:rPr>
          <w:b/>
          <w:bCs/>
          <w:caps/>
        </w:rPr>
        <w:t xml:space="preserve"> </w:t>
      </w:r>
      <w:r w:rsidRPr="0005669E">
        <w:rPr>
          <w:bCs/>
        </w:rPr>
        <w:t>Klaipėdos miesto savivaldybės tarybos patvirtintų strateginio planavimo dokumentų klasifikatorius.</w:t>
      </w:r>
    </w:p>
    <w:p w:rsidR="00913AFD" w:rsidRPr="0005669E" w:rsidRDefault="00913AFD" w:rsidP="00913AFD">
      <w:pPr>
        <w:ind w:firstLine="709"/>
        <w:jc w:val="both"/>
        <w:rPr>
          <w:b/>
          <w:snapToGrid w:val="0"/>
          <w:color w:val="000000"/>
        </w:rPr>
      </w:pPr>
    </w:p>
    <w:p w:rsidR="00913AFD" w:rsidRPr="00A71180" w:rsidRDefault="00913AFD" w:rsidP="0006079E">
      <w:pPr>
        <w:jc w:val="center"/>
      </w:pPr>
      <w:r>
        <w:t>–––––––––––––––––––––––––––––</w:t>
      </w:r>
    </w:p>
    <w:sectPr w:rsidR="00913AFD" w:rsidRPr="00A71180" w:rsidSect="007517BE">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A5" w:rsidRDefault="00C241A5" w:rsidP="007517BE">
      <w:r>
        <w:separator/>
      </w:r>
    </w:p>
  </w:endnote>
  <w:endnote w:type="continuationSeparator" w:id="0">
    <w:p w:rsidR="00C241A5" w:rsidRDefault="00C241A5" w:rsidP="007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NotDefSpecial">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A5" w:rsidRDefault="00C241A5" w:rsidP="007517BE">
      <w:r>
        <w:separator/>
      </w:r>
    </w:p>
  </w:footnote>
  <w:footnote w:type="continuationSeparator" w:id="0">
    <w:p w:rsidR="00C241A5" w:rsidRDefault="00C241A5" w:rsidP="007517BE">
      <w:r>
        <w:continuationSeparator/>
      </w:r>
    </w:p>
  </w:footnote>
  <w:footnote w:id="1">
    <w:p w:rsidR="00913AFD" w:rsidRPr="00E176F6" w:rsidRDefault="00913AFD" w:rsidP="00913AFD">
      <w:pPr>
        <w:pStyle w:val="Puslapioinaostekstas"/>
        <w:rPr>
          <w:rFonts w:ascii="Times New Roman" w:hAnsi="Times New Roman" w:cs="Times New Roman"/>
          <w:sz w:val="20"/>
          <w:szCs w:val="20"/>
        </w:rPr>
      </w:pPr>
      <w:r w:rsidRPr="00E176F6">
        <w:rPr>
          <w:rStyle w:val="Puslapioinaosnuoroda"/>
          <w:rFonts w:ascii="Times New Roman" w:hAnsi="Times New Roman" w:cs="Times New Roman"/>
          <w:sz w:val="20"/>
          <w:szCs w:val="20"/>
        </w:rPr>
        <w:footnoteRef/>
      </w:r>
      <w:r w:rsidRPr="00E176F6">
        <w:rPr>
          <w:rFonts w:ascii="Times New Roman" w:hAnsi="Times New Roman" w:cs="Times New Roman"/>
          <w:sz w:val="20"/>
          <w:szCs w:val="20"/>
        </w:rPr>
        <w:t xml:space="preserve"> Lietuvos laisvos</w:t>
      </w:r>
      <w:r>
        <w:rPr>
          <w:rFonts w:ascii="Times New Roman" w:hAnsi="Times New Roman" w:cs="Times New Roman"/>
          <w:sz w:val="20"/>
          <w:szCs w:val="20"/>
        </w:rPr>
        <w:t>ios</w:t>
      </w:r>
      <w:r w:rsidRPr="00E176F6">
        <w:rPr>
          <w:rFonts w:ascii="Times New Roman" w:hAnsi="Times New Roman" w:cs="Times New Roman"/>
          <w:sz w:val="20"/>
          <w:szCs w:val="20"/>
        </w:rPr>
        <w:t xml:space="preserve"> rinkos instituto tyrimas „Lietuvos savivaldybių indeksas 2013“,  Vilnius, 2013 m.</w:t>
      </w:r>
    </w:p>
  </w:footnote>
  <w:footnote w:id="2">
    <w:p w:rsidR="00913AFD" w:rsidRPr="00E176F6" w:rsidRDefault="00913AFD" w:rsidP="00913AFD">
      <w:pPr>
        <w:pStyle w:val="Puslapioinaostekstas"/>
        <w:rPr>
          <w:rFonts w:ascii="Times New Roman" w:hAnsi="Times New Roman" w:cs="Times New Roman"/>
          <w:sz w:val="20"/>
          <w:szCs w:val="20"/>
        </w:rPr>
      </w:pPr>
      <w:r w:rsidRPr="00E176F6">
        <w:rPr>
          <w:rStyle w:val="Puslapioinaosnuoroda"/>
          <w:rFonts w:ascii="Times New Roman" w:hAnsi="Times New Roman" w:cs="Times New Roman"/>
          <w:sz w:val="20"/>
          <w:szCs w:val="20"/>
        </w:rPr>
        <w:footnoteRef/>
      </w:r>
      <w:r w:rsidRPr="00E176F6">
        <w:rPr>
          <w:rFonts w:ascii="Times New Roman" w:hAnsi="Times New Roman" w:cs="Times New Roman"/>
          <w:sz w:val="20"/>
          <w:szCs w:val="20"/>
        </w:rPr>
        <w:t xml:space="preserve"> Vidaus reikalų ministerijos Viešojo valdymo politikos departamento  Vietos savivald</w:t>
      </w:r>
      <w:r>
        <w:rPr>
          <w:rFonts w:ascii="Times New Roman" w:hAnsi="Times New Roman" w:cs="Times New Roman"/>
          <w:sz w:val="20"/>
          <w:szCs w:val="20"/>
        </w:rPr>
        <w:t xml:space="preserve">os politikos skyriaus atliktas </w:t>
      </w:r>
      <w:r w:rsidRPr="00E176F6">
        <w:rPr>
          <w:rFonts w:ascii="Times New Roman" w:hAnsi="Times New Roman" w:cs="Times New Roman"/>
          <w:sz w:val="20"/>
          <w:szCs w:val="20"/>
        </w:rPr>
        <w:t>Savivaldybių veiklos tyrimas 2012.</w:t>
      </w:r>
    </w:p>
  </w:footnote>
  <w:footnote w:id="3">
    <w:p w:rsidR="00913AFD" w:rsidRPr="001A05B1" w:rsidRDefault="00913AFD" w:rsidP="00913AFD">
      <w:pPr>
        <w:pStyle w:val="Puslapioinaostekstas"/>
        <w:rPr>
          <w:rFonts w:ascii="Times New Roman" w:hAnsi="Times New Roman" w:cs="Times New Roman"/>
        </w:rPr>
      </w:pPr>
      <w:r w:rsidRPr="001A05B1">
        <w:rPr>
          <w:rStyle w:val="Puslapioinaosnuoroda"/>
          <w:rFonts w:ascii="Times New Roman" w:hAnsi="Times New Roman" w:cs="Times New Roman"/>
        </w:rPr>
        <w:footnoteRef/>
      </w:r>
      <w:r w:rsidRPr="001A05B1">
        <w:rPr>
          <w:rFonts w:ascii="Times New Roman" w:hAnsi="Times New Roman" w:cs="Times New Roman"/>
        </w:rPr>
        <w:t xml:space="preserve"> Klaipėdos miesto bendrojo plano </w:t>
      </w:r>
      <w:proofErr w:type="spellStart"/>
      <w:r w:rsidRPr="001A05B1">
        <w:rPr>
          <w:rFonts w:ascii="Times New Roman" w:hAnsi="Times New Roman" w:cs="Times New Roman"/>
        </w:rPr>
        <w:t>stebėsenos</w:t>
      </w:r>
      <w:proofErr w:type="spellEnd"/>
      <w:r w:rsidRPr="001A05B1">
        <w:rPr>
          <w:rFonts w:ascii="Times New Roman" w:hAnsi="Times New Roman" w:cs="Times New Roman"/>
        </w:rPr>
        <w:t xml:space="preserve"> ataskaita, rengėjai – UAB „</w:t>
      </w:r>
      <w:proofErr w:type="spellStart"/>
      <w:r w:rsidRPr="001A05B1">
        <w:rPr>
          <w:rFonts w:ascii="Times New Roman" w:hAnsi="Times New Roman" w:cs="Times New Roman"/>
        </w:rPr>
        <w:t>Sweco</w:t>
      </w:r>
      <w:proofErr w:type="spellEnd"/>
      <w:r w:rsidRPr="001A05B1">
        <w:rPr>
          <w:rFonts w:ascii="Times New Roman" w:hAnsi="Times New Roman" w:cs="Times New Roman"/>
        </w:rPr>
        <w:t xml:space="preserve">“ ir SĮ „Kauno planas“, 2014 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29736"/>
      <w:docPartObj>
        <w:docPartGallery w:val="Page Numbers (Top of Page)"/>
        <w:docPartUnique/>
      </w:docPartObj>
    </w:sdtPr>
    <w:sdtEndPr/>
    <w:sdtContent>
      <w:p w:rsidR="007517BE" w:rsidRDefault="007517BE">
        <w:pPr>
          <w:pStyle w:val="Antrats"/>
          <w:jc w:val="center"/>
        </w:pPr>
        <w:r>
          <w:fldChar w:fldCharType="begin"/>
        </w:r>
        <w:r>
          <w:instrText>PAGE   \* MERGEFORMAT</w:instrText>
        </w:r>
        <w:r>
          <w:fldChar w:fldCharType="separate"/>
        </w:r>
        <w:r w:rsidR="001A20F8">
          <w:rPr>
            <w:noProof/>
          </w:rPr>
          <w:t>3</w:t>
        </w:r>
        <w:r>
          <w:fldChar w:fldCharType="end"/>
        </w:r>
      </w:p>
    </w:sdtContent>
  </w:sdt>
  <w:p w:rsidR="007517BE" w:rsidRDefault="007517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10D3"/>
    <w:rsid w:val="000741A8"/>
    <w:rsid w:val="000C2B07"/>
    <w:rsid w:val="000C56F3"/>
    <w:rsid w:val="000D0D57"/>
    <w:rsid w:val="000F2B01"/>
    <w:rsid w:val="00152CEC"/>
    <w:rsid w:val="001A20F8"/>
    <w:rsid w:val="001D2F80"/>
    <w:rsid w:val="001D78F2"/>
    <w:rsid w:val="00205B3F"/>
    <w:rsid w:val="00251562"/>
    <w:rsid w:val="00270C93"/>
    <w:rsid w:val="00276423"/>
    <w:rsid w:val="002E42CF"/>
    <w:rsid w:val="00344AA5"/>
    <w:rsid w:val="003D7133"/>
    <w:rsid w:val="00432071"/>
    <w:rsid w:val="00445AE6"/>
    <w:rsid w:val="004476DD"/>
    <w:rsid w:val="0045043B"/>
    <w:rsid w:val="00477A23"/>
    <w:rsid w:val="004C30CC"/>
    <w:rsid w:val="004D1DF1"/>
    <w:rsid w:val="004E5E15"/>
    <w:rsid w:val="004F1E20"/>
    <w:rsid w:val="005111B2"/>
    <w:rsid w:val="00550932"/>
    <w:rsid w:val="0055346B"/>
    <w:rsid w:val="00574A12"/>
    <w:rsid w:val="0057612A"/>
    <w:rsid w:val="00597EE8"/>
    <w:rsid w:val="005F495C"/>
    <w:rsid w:val="00613EBE"/>
    <w:rsid w:val="00614FCA"/>
    <w:rsid w:val="006262F9"/>
    <w:rsid w:val="0063605C"/>
    <w:rsid w:val="00673557"/>
    <w:rsid w:val="006B0AF8"/>
    <w:rsid w:val="00720E80"/>
    <w:rsid w:val="007517BE"/>
    <w:rsid w:val="00756C1C"/>
    <w:rsid w:val="007659EA"/>
    <w:rsid w:val="00777F93"/>
    <w:rsid w:val="008122EE"/>
    <w:rsid w:val="008315FC"/>
    <w:rsid w:val="008354D5"/>
    <w:rsid w:val="00846008"/>
    <w:rsid w:val="008A3AB6"/>
    <w:rsid w:val="008B2919"/>
    <w:rsid w:val="008B2CF2"/>
    <w:rsid w:val="008B5613"/>
    <w:rsid w:val="008E38F9"/>
    <w:rsid w:val="008E3BE6"/>
    <w:rsid w:val="008E6E82"/>
    <w:rsid w:val="00913AFD"/>
    <w:rsid w:val="009408D9"/>
    <w:rsid w:val="0096485F"/>
    <w:rsid w:val="009767C5"/>
    <w:rsid w:val="009C2CA7"/>
    <w:rsid w:val="009F16FB"/>
    <w:rsid w:val="00A04E60"/>
    <w:rsid w:val="00A71180"/>
    <w:rsid w:val="00A87886"/>
    <w:rsid w:val="00AE3DD0"/>
    <w:rsid w:val="00AF7D08"/>
    <w:rsid w:val="00B20EA3"/>
    <w:rsid w:val="00B62AC5"/>
    <w:rsid w:val="00B7403E"/>
    <w:rsid w:val="00B750B6"/>
    <w:rsid w:val="00B8620C"/>
    <w:rsid w:val="00C241A5"/>
    <w:rsid w:val="00C32472"/>
    <w:rsid w:val="00C736C0"/>
    <w:rsid w:val="00CA4D3B"/>
    <w:rsid w:val="00CA7667"/>
    <w:rsid w:val="00CC14C1"/>
    <w:rsid w:val="00D127A7"/>
    <w:rsid w:val="00D25882"/>
    <w:rsid w:val="00D47041"/>
    <w:rsid w:val="00D75BB5"/>
    <w:rsid w:val="00D806AE"/>
    <w:rsid w:val="00D80772"/>
    <w:rsid w:val="00DA2B79"/>
    <w:rsid w:val="00DB19AF"/>
    <w:rsid w:val="00DB2C69"/>
    <w:rsid w:val="00DB60AA"/>
    <w:rsid w:val="00DE20C4"/>
    <w:rsid w:val="00E208EA"/>
    <w:rsid w:val="00E24747"/>
    <w:rsid w:val="00E31D1C"/>
    <w:rsid w:val="00E33871"/>
    <w:rsid w:val="00E55C8F"/>
    <w:rsid w:val="00EF4BF2"/>
    <w:rsid w:val="00F75600"/>
    <w:rsid w:val="00F806DE"/>
    <w:rsid w:val="00F8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 w:type="character" w:customStyle="1" w:styleId="prastasistinklapisDiagrama">
    <w:name w:val="Įprastasis (tinklapis) Diagrama"/>
    <w:aliases w:val="Char Diagrama"/>
    <w:link w:val="prastasistinklapis"/>
    <w:uiPriority w:val="99"/>
    <w:locked/>
    <w:rsid w:val="00913AFD"/>
    <w:rPr>
      <w:sz w:val="24"/>
      <w:szCs w:val="24"/>
      <w:lang w:val="en-GB"/>
    </w:rPr>
  </w:style>
  <w:style w:type="paragraph" w:styleId="prastasistinklapis">
    <w:name w:val="Normal (Web)"/>
    <w:aliases w:val="Char"/>
    <w:basedOn w:val="prastasis"/>
    <w:link w:val="prastasistinklapisDiagrama"/>
    <w:uiPriority w:val="99"/>
    <w:unhideWhenUsed/>
    <w:qFormat/>
    <w:rsid w:val="00913AFD"/>
    <w:pPr>
      <w:spacing w:after="200" w:line="276" w:lineRule="auto"/>
      <w:ind w:left="720"/>
      <w:contextualSpacing/>
    </w:pPr>
    <w:rPr>
      <w:rFonts w:asciiTheme="minorHAnsi" w:eastAsiaTheme="minorHAnsi" w:hAnsiTheme="minorHAnsi" w:cstheme="minorBidi"/>
      <w:lang w:val="en-GB"/>
    </w:rPr>
  </w:style>
  <w:style w:type="character" w:customStyle="1" w:styleId="PuslapioinaostekstasDiagrama">
    <w:name w:val="Puslapio išnašos tekstas Diagrama"/>
    <w:aliases w:val="Footnote Text Char1 Diagrama,Footnote Text Char Char Diagrama"/>
    <w:basedOn w:val="Numatytasispastraiposriftas"/>
    <w:link w:val="Puslapioinaostekstas"/>
    <w:semiHidden/>
    <w:locked/>
    <w:rsid w:val="00913AFD"/>
  </w:style>
  <w:style w:type="paragraph" w:styleId="Puslapioinaostekstas">
    <w:name w:val="footnote text"/>
    <w:aliases w:val="Footnote Text Char1,Footnote Text Char Char"/>
    <w:basedOn w:val="prastasis"/>
    <w:link w:val="PuslapioinaostekstasDiagrama"/>
    <w:semiHidden/>
    <w:unhideWhenUsed/>
    <w:rsid w:val="00913AFD"/>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913AFD"/>
    <w:rPr>
      <w:rFonts w:ascii="Times New Roman" w:eastAsia="Times New Roman" w:hAnsi="Times New Roman" w:cs="Times New Roman"/>
      <w:sz w:val="20"/>
      <w:szCs w:val="20"/>
    </w:rPr>
  </w:style>
  <w:style w:type="character" w:customStyle="1" w:styleId="NoSpacingChar">
    <w:name w:val="No Spacing Char"/>
    <w:link w:val="Betarp1"/>
    <w:uiPriority w:val="99"/>
    <w:locked/>
    <w:rsid w:val="00913AFD"/>
    <w:rPr>
      <w:rFonts w:ascii="Calibri" w:eastAsia="Calibri" w:hAnsi="Calibri" w:cs="Calibri"/>
      <w:lang w:val="en-US"/>
    </w:rPr>
  </w:style>
  <w:style w:type="paragraph" w:customStyle="1" w:styleId="Betarp1">
    <w:name w:val="Be tarpų1"/>
    <w:link w:val="NoSpacingChar"/>
    <w:uiPriority w:val="99"/>
    <w:rsid w:val="00913AFD"/>
    <w:pPr>
      <w:spacing w:after="0" w:line="240" w:lineRule="auto"/>
    </w:pPr>
    <w:rPr>
      <w:rFonts w:ascii="Calibri" w:eastAsia="Calibri" w:hAnsi="Calibri" w:cs="Calibri"/>
      <w:lang w:val="en-US"/>
    </w:rPr>
  </w:style>
  <w:style w:type="character" w:styleId="Puslapioinaosnuoroda">
    <w:name w:val="footnote reference"/>
    <w:semiHidden/>
    <w:unhideWhenUsed/>
    <w:rsid w:val="00913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 w:type="character" w:customStyle="1" w:styleId="prastasistinklapisDiagrama">
    <w:name w:val="Įprastasis (tinklapis) Diagrama"/>
    <w:aliases w:val="Char Diagrama"/>
    <w:link w:val="prastasistinklapis"/>
    <w:uiPriority w:val="99"/>
    <w:locked/>
    <w:rsid w:val="00913AFD"/>
    <w:rPr>
      <w:sz w:val="24"/>
      <w:szCs w:val="24"/>
      <w:lang w:val="en-GB"/>
    </w:rPr>
  </w:style>
  <w:style w:type="paragraph" w:styleId="prastasistinklapis">
    <w:name w:val="Normal (Web)"/>
    <w:aliases w:val="Char"/>
    <w:basedOn w:val="prastasis"/>
    <w:link w:val="prastasistinklapisDiagrama"/>
    <w:uiPriority w:val="99"/>
    <w:unhideWhenUsed/>
    <w:qFormat/>
    <w:rsid w:val="00913AFD"/>
    <w:pPr>
      <w:spacing w:after="200" w:line="276" w:lineRule="auto"/>
      <w:ind w:left="720"/>
      <w:contextualSpacing/>
    </w:pPr>
    <w:rPr>
      <w:rFonts w:asciiTheme="minorHAnsi" w:eastAsiaTheme="minorHAnsi" w:hAnsiTheme="minorHAnsi" w:cstheme="minorBidi"/>
      <w:lang w:val="en-GB"/>
    </w:rPr>
  </w:style>
  <w:style w:type="character" w:customStyle="1" w:styleId="PuslapioinaostekstasDiagrama">
    <w:name w:val="Puslapio išnašos tekstas Diagrama"/>
    <w:aliases w:val="Footnote Text Char1 Diagrama,Footnote Text Char Char Diagrama"/>
    <w:basedOn w:val="Numatytasispastraiposriftas"/>
    <w:link w:val="Puslapioinaostekstas"/>
    <w:semiHidden/>
    <w:locked/>
    <w:rsid w:val="00913AFD"/>
  </w:style>
  <w:style w:type="paragraph" w:styleId="Puslapioinaostekstas">
    <w:name w:val="footnote text"/>
    <w:aliases w:val="Footnote Text Char1,Footnote Text Char Char"/>
    <w:basedOn w:val="prastasis"/>
    <w:link w:val="PuslapioinaostekstasDiagrama"/>
    <w:semiHidden/>
    <w:unhideWhenUsed/>
    <w:rsid w:val="00913AFD"/>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913AFD"/>
    <w:rPr>
      <w:rFonts w:ascii="Times New Roman" w:eastAsia="Times New Roman" w:hAnsi="Times New Roman" w:cs="Times New Roman"/>
      <w:sz w:val="20"/>
      <w:szCs w:val="20"/>
    </w:rPr>
  </w:style>
  <w:style w:type="character" w:customStyle="1" w:styleId="NoSpacingChar">
    <w:name w:val="No Spacing Char"/>
    <w:link w:val="Betarp1"/>
    <w:uiPriority w:val="99"/>
    <w:locked/>
    <w:rsid w:val="00913AFD"/>
    <w:rPr>
      <w:rFonts w:ascii="Calibri" w:eastAsia="Calibri" w:hAnsi="Calibri" w:cs="Calibri"/>
      <w:lang w:val="en-US"/>
    </w:rPr>
  </w:style>
  <w:style w:type="paragraph" w:customStyle="1" w:styleId="Betarp1">
    <w:name w:val="Be tarpų1"/>
    <w:link w:val="NoSpacingChar"/>
    <w:uiPriority w:val="99"/>
    <w:rsid w:val="00913AFD"/>
    <w:pPr>
      <w:spacing w:after="0" w:line="240" w:lineRule="auto"/>
    </w:pPr>
    <w:rPr>
      <w:rFonts w:ascii="Calibri" w:eastAsia="Calibri" w:hAnsi="Calibri" w:cs="Calibri"/>
      <w:lang w:val="en-US"/>
    </w:rPr>
  </w:style>
  <w:style w:type="character" w:styleId="Puslapioinaosnuoroda">
    <w:name w:val="footnote reference"/>
    <w:semiHidden/>
    <w:unhideWhenUsed/>
    <w:rsid w:val="00913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502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959652847852208E-2"/>
          <c:y val="0.10894161105678783"/>
          <c:w val="0.87993699278256554"/>
          <c:h val="0.69306930693069302"/>
        </c:manualLayout>
      </c:layout>
      <c:lineChart>
        <c:grouping val="standard"/>
        <c:varyColors val="0"/>
        <c:ser>
          <c:idx val="0"/>
          <c:order val="0"/>
          <c:tx>
            <c:strRef>
              <c:f>Sheet1!$A$2</c:f>
              <c:strCache>
                <c:ptCount val="1"/>
                <c:pt idx="0">
                  <c:v>SVV įmonių skaičius</c:v>
                </c:pt>
              </c:strCache>
            </c:strRef>
          </c:tx>
          <c:spPr>
            <a:ln w="25408">
              <a:solidFill>
                <a:srgbClr val="0000CC"/>
              </a:solidFill>
              <a:prstDash val="solid"/>
            </a:ln>
          </c:spPr>
          <c:marker>
            <c:symbol val="diamond"/>
            <c:size val="7"/>
            <c:spPr>
              <a:solidFill>
                <a:srgbClr val="000099"/>
              </a:solidFill>
              <a:ln>
                <a:solidFill>
                  <a:srgbClr val="000099"/>
                </a:solidFill>
                <a:prstDash val="solid"/>
              </a:ln>
            </c:spPr>
          </c:marker>
          <c:dPt>
            <c:idx val="6"/>
            <c:bubble3D val="0"/>
            <c:spPr>
              <a:ln w="25408">
                <a:solidFill>
                  <a:srgbClr val="0000CC"/>
                </a:solidFill>
                <a:prstDash val="sysDash"/>
              </a:ln>
            </c:spPr>
          </c:dPt>
          <c:dPt>
            <c:idx val="7"/>
            <c:bubble3D val="0"/>
            <c:spPr>
              <a:ln w="25408">
                <a:solidFill>
                  <a:srgbClr val="0000CC"/>
                </a:solidFill>
                <a:prstDash val="sysDash"/>
              </a:ln>
            </c:spPr>
          </c:dPt>
          <c:dPt>
            <c:idx val="8"/>
            <c:bubble3D val="0"/>
            <c:spPr>
              <a:ln>
                <a:solidFill>
                  <a:srgbClr val="0000CC"/>
                </a:solidFill>
                <a:prstDash val="sysDash"/>
              </a:ln>
            </c:spPr>
          </c:dPt>
          <c:dLbls>
            <c:dLbl>
              <c:idx val="0"/>
              <c:layout>
                <c:manualLayout>
                  <c:x val="-3.9486591547378505E-2"/>
                  <c:y val="-4.8059698249652304E-2"/>
                </c:manualLayout>
              </c:layout>
              <c:dLblPos val="r"/>
              <c:showLegendKey val="0"/>
              <c:showVal val="1"/>
              <c:showCatName val="0"/>
              <c:showSerName val="0"/>
              <c:showPercent val="0"/>
              <c:showBubbleSize val="0"/>
            </c:dLbl>
            <c:dLbl>
              <c:idx val="1"/>
              <c:layout>
                <c:manualLayout>
                  <c:x val="-1.2576908558646835E-2"/>
                  <c:y val="4.7288836426060007E-2"/>
                </c:manualLayout>
              </c:layout>
              <c:dLblPos val="r"/>
              <c:showLegendKey val="0"/>
              <c:showVal val="1"/>
              <c:showCatName val="0"/>
              <c:showSerName val="0"/>
              <c:showPercent val="0"/>
              <c:showBubbleSize val="0"/>
            </c:dLbl>
            <c:dLbl>
              <c:idx val="2"/>
              <c:layout>
                <c:manualLayout>
                  <c:x val="-5.0436040928803355E-2"/>
                  <c:y val="-4.8769886159703145E-2"/>
                </c:manualLayout>
              </c:layout>
              <c:dLblPos val="r"/>
              <c:showLegendKey val="0"/>
              <c:showVal val="1"/>
              <c:showCatName val="0"/>
              <c:showSerName val="0"/>
              <c:showPercent val="0"/>
              <c:showBubbleSize val="0"/>
            </c:dLbl>
            <c:dLbl>
              <c:idx val="3"/>
              <c:layout>
                <c:manualLayout>
                  <c:x val="-3.2206689903512484E-2"/>
                  <c:y val="-7.5430610839306786E-2"/>
                </c:manualLayout>
              </c:layout>
              <c:dLblPos val="r"/>
              <c:showLegendKey val="0"/>
              <c:showVal val="1"/>
              <c:showCatName val="0"/>
              <c:showSerName val="0"/>
              <c:showPercent val="0"/>
              <c:showBubbleSize val="0"/>
            </c:dLbl>
            <c:dLbl>
              <c:idx val="4"/>
              <c:layout>
                <c:manualLayout>
                  <c:x val="-3.1871374751036984E-2"/>
                  <c:y val="-5.4220300639077137E-2"/>
                </c:manualLayout>
              </c:layout>
              <c:dLblPos val="r"/>
              <c:showLegendKey val="0"/>
              <c:showVal val="1"/>
              <c:showCatName val="0"/>
              <c:showSerName val="0"/>
              <c:showPercent val="0"/>
              <c:showBubbleSize val="0"/>
            </c:dLbl>
            <c:dLbl>
              <c:idx val="5"/>
              <c:layout>
                <c:manualLayout>
                  <c:x val="-4.3688688196031278E-2"/>
                  <c:y val="-4.9432792425943152E-2"/>
                </c:manualLayout>
              </c:layout>
              <c:tx>
                <c:rich>
                  <a:bodyPr/>
                  <a:lstStyle/>
                  <a:p>
                    <a:pPr>
                      <a:defRPr sz="1000" b="0" i="0" u="none" strike="noStrike" baseline="0">
                        <a:solidFill>
                          <a:srgbClr val="000000"/>
                        </a:solidFill>
                        <a:latin typeface="Times New Roman"/>
                        <a:ea typeface="Times New Roman"/>
                        <a:cs typeface="Times New Roman"/>
                      </a:defRPr>
                    </a:pPr>
                    <a:r>
                      <a:rPr lang="lt-LT" sz="1000"/>
                      <a:t>31</a:t>
                    </a:r>
                    <a:endParaRPr lang="lt-LT"/>
                  </a:p>
                </c:rich>
              </c:tx>
              <c:spPr>
                <a:noFill/>
                <a:ln w="25408">
                  <a:noFill/>
                </a:ln>
              </c:spPr>
              <c:dLblPos val="r"/>
              <c:showLegendKey val="0"/>
              <c:showVal val="0"/>
              <c:showCatName val="0"/>
              <c:showSerName val="0"/>
              <c:showPercent val="0"/>
              <c:showBubbleSize val="0"/>
            </c:dLbl>
            <c:dLbl>
              <c:idx val="6"/>
              <c:layout>
                <c:manualLayout>
                  <c:x val="-3.5343503309115731E-2"/>
                  <c:y val="-5.9497007126549352E-2"/>
                </c:manualLayout>
              </c:layout>
              <c:spPr>
                <a:noFill/>
                <a:ln w="25408">
                  <a:noFill/>
                </a:ln>
              </c:spPr>
              <c:txPr>
                <a:bodyPr/>
                <a:lstStyle/>
                <a:p>
                  <a:pPr>
                    <a:defRPr sz="10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1.2198764550235958E-2"/>
                  <c:y val="-6.8490320868092786E-2"/>
                </c:manualLayout>
              </c:layout>
              <c:spPr>
                <a:noFill/>
                <a:ln w="25408">
                  <a:noFill/>
                </a:ln>
              </c:spPr>
              <c:txPr>
                <a:bodyPr/>
                <a:lstStyle/>
                <a:p>
                  <a:pPr>
                    <a:defRPr sz="10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2.911602884877711E-2"/>
                  <c:y val="-6.117022984593451E-2"/>
                </c:manualLayout>
              </c:layout>
              <c:tx>
                <c:rich>
                  <a:bodyPr/>
                  <a:lstStyle/>
                  <a:p>
                    <a:r>
                      <a:rPr lang="en-US" sz="1000" b="0"/>
                      <a:t>32,5</a:t>
                    </a:r>
                    <a:endParaRPr lang="en-US" b="0"/>
                  </a:p>
                </c:rich>
              </c:tx>
              <c:showLegendKey val="0"/>
              <c:showVal val="1"/>
              <c:showCatName val="0"/>
              <c:showSerName val="0"/>
              <c:showPercent val="0"/>
              <c:showBubbleSize val="0"/>
            </c:dLbl>
            <c:spPr>
              <a:noFill/>
              <a:ln w="25408">
                <a:noFill/>
              </a:ln>
            </c:spPr>
            <c:txPr>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Sheet1!$B$2:$J$2</c:f>
              <c:numCache>
                <c:formatCode>General</c:formatCode>
                <c:ptCount val="9"/>
                <c:pt idx="0">
                  <c:v>30.13</c:v>
                </c:pt>
                <c:pt idx="1">
                  <c:v>29.9</c:v>
                </c:pt>
                <c:pt idx="2">
                  <c:v>31.78</c:v>
                </c:pt>
                <c:pt idx="3">
                  <c:v>29.99</c:v>
                </c:pt>
                <c:pt idx="4">
                  <c:v>30.5</c:v>
                </c:pt>
                <c:pt idx="5">
                  <c:v>31</c:v>
                </c:pt>
                <c:pt idx="6">
                  <c:v>31.5</c:v>
                </c:pt>
                <c:pt idx="7">
                  <c:v>32</c:v>
                </c:pt>
                <c:pt idx="8">
                  <c:v>32.5</c:v>
                </c:pt>
              </c:numCache>
            </c:numRef>
          </c:val>
          <c:smooth val="0"/>
        </c:ser>
        <c:dLbls>
          <c:showLegendKey val="0"/>
          <c:showVal val="1"/>
          <c:showCatName val="0"/>
          <c:showSerName val="0"/>
          <c:showPercent val="0"/>
          <c:showBubbleSize val="0"/>
        </c:dLbls>
        <c:marker val="1"/>
        <c:smooth val="0"/>
        <c:axId val="92690304"/>
        <c:axId val="93267456"/>
      </c:lineChart>
      <c:catAx>
        <c:axId val="92690304"/>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93267456"/>
        <c:crosses val="autoZero"/>
        <c:auto val="1"/>
        <c:lblAlgn val="ctr"/>
        <c:lblOffset val="100"/>
        <c:tickLblSkip val="1"/>
        <c:tickMarkSkip val="1"/>
        <c:noMultiLvlLbl val="0"/>
      </c:catAx>
      <c:valAx>
        <c:axId val="93267456"/>
        <c:scaling>
          <c:orientation val="minMax"/>
          <c:min val="24"/>
        </c:scaling>
        <c:delete val="0"/>
        <c:axPos val="l"/>
        <c:majorGridlines>
          <c:spPr>
            <a:ln w="12704">
              <a:solidFill>
                <a:srgbClr val="000000"/>
              </a:solidFill>
              <a:prstDash val="sysDash"/>
            </a:ln>
          </c:spPr>
        </c:majorGridlines>
        <c:numFmt formatCode="General" sourceLinked="1"/>
        <c:majorTickMark val="out"/>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92690304"/>
        <c:crosses val="autoZero"/>
        <c:crossBetween val="between"/>
      </c:valAx>
      <c:spPr>
        <a:noFill/>
        <a:ln w="12704">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479756258871429E-2"/>
          <c:y val="0.11118157921402898"/>
          <c:w val="0.90585313382003829"/>
          <c:h val="0.65934065934065933"/>
        </c:manualLayout>
      </c:layout>
      <c:lineChart>
        <c:grouping val="standard"/>
        <c:varyColors val="0"/>
        <c:ser>
          <c:idx val="0"/>
          <c:order val="0"/>
          <c:tx>
            <c:strRef>
              <c:f>Sheet1!$A$2</c:f>
              <c:strCache>
                <c:ptCount val="1"/>
                <c:pt idx="0">
                  <c:v>East</c:v>
                </c:pt>
              </c:strCache>
            </c:strRef>
          </c:tx>
          <c:spPr>
            <a:ln>
              <a:solidFill>
                <a:srgbClr val="0000CC"/>
              </a:solidFill>
            </a:ln>
          </c:spPr>
          <c:marker>
            <c:spPr>
              <a:solidFill>
                <a:srgbClr val="000099"/>
              </a:solidFill>
              <a:ln>
                <a:solidFill>
                  <a:srgbClr val="0000CC"/>
                </a:solidFill>
              </a:ln>
            </c:spPr>
          </c:marker>
          <c:dPt>
            <c:idx val="6"/>
            <c:bubble3D val="0"/>
            <c:spPr>
              <a:ln>
                <a:solidFill>
                  <a:srgbClr val="0000CC"/>
                </a:solidFill>
              </a:ln>
            </c:spPr>
          </c:dPt>
          <c:dPt>
            <c:idx val="7"/>
            <c:bubble3D val="0"/>
            <c:spPr>
              <a:ln>
                <a:solidFill>
                  <a:srgbClr val="0000CC"/>
                </a:solidFill>
                <a:prstDash val="sysDash"/>
              </a:ln>
            </c:spPr>
          </c:dPt>
          <c:dPt>
            <c:idx val="8"/>
            <c:bubble3D val="0"/>
            <c:spPr>
              <a:ln>
                <a:solidFill>
                  <a:srgbClr val="0000CC"/>
                </a:solidFill>
                <a:prstDash val="sysDash"/>
              </a:ln>
            </c:spPr>
          </c:dPt>
          <c:dPt>
            <c:idx val="9"/>
            <c:bubble3D val="0"/>
            <c:spPr>
              <a:ln>
                <a:solidFill>
                  <a:srgbClr val="0000CC"/>
                </a:solidFill>
                <a:prstDash val="sysDash"/>
              </a:ln>
            </c:spPr>
          </c:dPt>
          <c:dLbls>
            <c:dLbl>
              <c:idx val="0"/>
              <c:layout>
                <c:manualLayout>
                  <c:x val="-4.1661300502877412E-2"/>
                  <c:y val="-5.4277121609798779E-2"/>
                </c:manualLayout>
              </c:layout>
              <c:dLblPos val="r"/>
              <c:showLegendKey val="0"/>
              <c:showVal val="1"/>
              <c:showCatName val="0"/>
              <c:showSerName val="0"/>
              <c:showPercent val="0"/>
              <c:showBubbleSize val="0"/>
            </c:dLbl>
            <c:dLbl>
              <c:idx val="1"/>
              <c:layout>
                <c:manualLayout>
                  <c:x val="-1.0317972282839181E-2"/>
                  <c:y val="5.5555555555555552E-2"/>
                </c:manualLayout>
              </c:layout>
              <c:showLegendKey val="0"/>
              <c:showVal val="1"/>
              <c:showCatName val="0"/>
              <c:showSerName val="0"/>
              <c:showPercent val="0"/>
              <c:showBubbleSize val="0"/>
            </c:dLbl>
            <c:dLbl>
              <c:idx val="2"/>
              <c:layout>
                <c:manualLayout>
                  <c:x val="-3.6232058052964915E-2"/>
                  <c:y val="9.5142716535433075E-2"/>
                </c:manualLayout>
              </c:layout>
              <c:dLblPos val="r"/>
              <c:showLegendKey val="0"/>
              <c:showVal val="1"/>
              <c:showCatName val="0"/>
              <c:showSerName val="0"/>
              <c:showPercent val="0"/>
              <c:showBubbleSize val="0"/>
            </c:dLbl>
            <c:dLbl>
              <c:idx val="3"/>
              <c:layout>
                <c:manualLayout>
                  <c:x val="-5.1079649871390909E-2"/>
                  <c:y val="9.8957786526684161E-2"/>
                </c:manualLayout>
              </c:layout>
              <c:dLblPos val="r"/>
              <c:showLegendKey val="0"/>
              <c:showVal val="1"/>
              <c:showCatName val="0"/>
              <c:showSerName val="0"/>
              <c:showPercent val="0"/>
              <c:showBubbleSize val="0"/>
            </c:dLbl>
            <c:dLbl>
              <c:idx val="4"/>
              <c:layout>
                <c:manualLayout>
                  <c:x val="-3.1032073457463144E-2"/>
                  <c:y val="-0.1034990157480315"/>
                </c:manualLayout>
              </c:layout>
              <c:dLblPos val="r"/>
              <c:showLegendKey val="0"/>
              <c:showVal val="1"/>
              <c:showCatName val="0"/>
              <c:showSerName val="0"/>
              <c:showPercent val="0"/>
              <c:showBubbleSize val="0"/>
            </c:dLbl>
            <c:dLbl>
              <c:idx val="5"/>
              <c:layout>
                <c:manualLayout>
                  <c:x val="-3.06349533903882E-2"/>
                  <c:y val="-0.1142590769903762"/>
                </c:manualLayout>
              </c:layout>
              <c:dLblPos val="r"/>
              <c:showLegendKey val="0"/>
              <c:showVal val="1"/>
              <c:showCatName val="0"/>
              <c:showSerName val="0"/>
              <c:showPercent val="0"/>
              <c:showBubbleSize val="0"/>
            </c:dLbl>
            <c:dLbl>
              <c:idx val="6"/>
              <c:layout>
                <c:manualLayout>
                  <c:x val="-2.6546924025601569E-2"/>
                  <c:y val="-9.9225721784776968E-2"/>
                </c:manualLayout>
              </c:layout>
              <c:spPr/>
              <c:txPr>
                <a:bodyPr/>
                <a:lstStyle/>
                <a:p>
                  <a:pPr>
                    <a:defRPr b="0">
                      <a:latin typeface="Times New Roman" panose="02020603050405020304" pitchFamily="18" charset="0"/>
                      <a:cs typeface="Times New Roman" panose="02020603050405020304" pitchFamily="18" charset="0"/>
                    </a:defRPr>
                  </a:pPr>
                  <a:endParaRPr lang="lt-LT"/>
                </a:p>
              </c:txPr>
              <c:dLblPos val="r"/>
              <c:showLegendKey val="0"/>
              <c:showVal val="1"/>
              <c:showCatName val="0"/>
              <c:showSerName val="0"/>
              <c:showPercent val="0"/>
              <c:showBubbleSize val="0"/>
            </c:dLbl>
            <c:dLbl>
              <c:idx val="7"/>
              <c:layout>
                <c:manualLayout>
                  <c:x val="-3.0348000019498531E-2"/>
                  <c:y val="-3.6496609798775156E-2"/>
                </c:manualLayout>
              </c:layout>
              <c:tx>
                <c:rich>
                  <a:bodyPr/>
                  <a:lstStyle/>
                  <a:p>
                    <a:pPr>
                      <a:defRPr b="0">
                        <a:latin typeface="Times New Roman" panose="02020603050405020304" pitchFamily="18" charset="0"/>
                        <a:cs typeface="Times New Roman" panose="02020603050405020304" pitchFamily="18" charset="0"/>
                      </a:defRPr>
                    </a:pPr>
                    <a:r>
                      <a:rPr lang="lt-LT" b="0">
                        <a:latin typeface="Times New Roman" panose="02020603050405020304" pitchFamily="18" charset="0"/>
                        <a:cs typeface="Times New Roman" panose="02020603050405020304" pitchFamily="18" charset="0"/>
                      </a:rPr>
                      <a:t>6,5</a:t>
                    </a:r>
                  </a:p>
                  <a:p>
                    <a:pPr>
                      <a:defRPr b="0">
                        <a:latin typeface="Times New Roman" panose="02020603050405020304" pitchFamily="18" charset="0"/>
                        <a:cs typeface="Times New Roman" panose="02020603050405020304" pitchFamily="18" charset="0"/>
                      </a:defRPr>
                    </a:pPr>
                    <a:endParaRPr lang="lt-LT" b="0"/>
                  </a:p>
                </c:rich>
              </c:tx>
              <c:spPr/>
              <c:dLblPos val="r"/>
              <c:showLegendKey val="0"/>
              <c:showVal val="0"/>
              <c:showCatName val="0"/>
              <c:showSerName val="0"/>
              <c:showPercent val="0"/>
              <c:showBubbleSize val="0"/>
            </c:dLbl>
            <c:dLbl>
              <c:idx val="8"/>
              <c:layout>
                <c:manualLayout>
                  <c:x val="-2.0635944565678362E-2"/>
                  <c:y val="-9.7222222222222154E-2"/>
                </c:manualLayout>
              </c:layout>
              <c:tx>
                <c:rich>
                  <a:bodyPr/>
                  <a:lstStyle/>
                  <a:p>
                    <a:pPr>
                      <a:defRPr b="0">
                        <a:latin typeface="Times New Roman" panose="02020603050405020304" pitchFamily="18" charset="0"/>
                        <a:cs typeface="Times New Roman" panose="02020603050405020304" pitchFamily="18" charset="0"/>
                      </a:defRPr>
                    </a:pPr>
                    <a:r>
                      <a:rPr lang="lt-LT" b="0">
                        <a:latin typeface="Times New Roman" panose="02020603050405020304" pitchFamily="18" charset="0"/>
                        <a:cs typeface="Times New Roman" panose="02020603050405020304" pitchFamily="18" charset="0"/>
                      </a:rPr>
                      <a:t>6</a:t>
                    </a:r>
                    <a:endParaRPr lang="lt-LT" b="0"/>
                  </a:p>
                </c:rich>
              </c:tx>
              <c:spPr/>
              <c:showLegendKey val="0"/>
              <c:showVal val="0"/>
              <c:showCatName val="0"/>
              <c:showSerName val="0"/>
              <c:showPercent val="0"/>
              <c:showBubbleSize val="0"/>
            </c:dLbl>
            <c:dLbl>
              <c:idx val="9"/>
              <c:layout>
                <c:manualLayout>
                  <c:x val="-3.0953916848517542E-2"/>
                  <c:y val="-9.7222222222222279E-2"/>
                </c:manualLayout>
              </c:layout>
              <c:spPr/>
              <c:txPr>
                <a:bodyPr/>
                <a:lstStyle/>
                <a:p>
                  <a:pPr>
                    <a:defRPr b="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dLbls>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Sheet1!$B$2:$K$2</c:f>
              <c:numCache>
                <c:formatCode>General</c:formatCode>
                <c:ptCount val="10"/>
                <c:pt idx="0">
                  <c:v>3.3</c:v>
                </c:pt>
                <c:pt idx="1">
                  <c:v>8.9</c:v>
                </c:pt>
                <c:pt idx="2">
                  <c:v>15.2</c:v>
                </c:pt>
                <c:pt idx="3">
                  <c:v>11.6</c:v>
                </c:pt>
                <c:pt idx="4">
                  <c:v>9.3000000000000007</c:v>
                </c:pt>
                <c:pt idx="5">
                  <c:v>8.4</c:v>
                </c:pt>
                <c:pt idx="6">
                  <c:v>7</c:v>
                </c:pt>
                <c:pt idx="7">
                  <c:v>6.5</c:v>
                </c:pt>
                <c:pt idx="8">
                  <c:v>6</c:v>
                </c:pt>
                <c:pt idx="9">
                  <c:v>5.5</c:v>
                </c:pt>
              </c:numCache>
            </c:numRef>
          </c:val>
          <c:smooth val="0"/>
        </c:ser>
        <c:dLbls>
          <c:showLegendKey val="0"/>
          <c:showVal val="1"/>
          <c:showCatName val="0"/>
          <c:showSerName val="0"/>
          <c:showPercent val="0"/>
          <c:showBubbleSize val="0"/>
        </c:dLbls>
        <c:marker val="1"/>
        <c:smooth val="0"/>
        <c:axId val="64351232"/>
        <c:axId val="64357120"/>
      </c:lineChart>
      <c:catAx>
        <c:axId val="64351232"/>
        <c:scaling>
          <c:orientation val="minMax"/>
        </c:scaling>
        <c:delete val="0"/>
        <c:axPos val="b"/>
        <c:numFmt formatCode="General" sourceLinked="1"/>
        <c:majorTickMark val="out"/>
        <c:minorTickMark val="none"/>
        <c:tickLblPos val="nextTo"/>
        <c:txPr>
          <a:bodyPr rot="0" vert="horz"/>
          <a:lstStyle/>
          <a:p>
            <a:pPr>
              <a:defRPr/>
            </a:pPr>
            <a:endParaRPr lang="lt-LT"/>
          </a:p>
        </c:txPr>
        <c:crossAx val="64357120"/>
        <c:crosses val="autoZero"/>
        <c:auto val="1"/>
        <c:lblAlgn val="ctr"/>
        <c:lblOffset val="100"/>
        <c:tickLblSkip val="1"/>
        <c:tickMarkSkip val="1"/>
        <c:noMultiLvlLbl val="0"/>
      </c:catAx>
      <c:valAx>
        <c:axId val="64357120"/>
        <c:scaling>
          <c:orientation val="minMax"/>
        </c:scaling>
        <c:delete val="0"/>
        <c:axPos val="l"/>
        <c:majorGridlines>
          <c:spPr>
            <a:ln>
              <a:solidFill>
                <a:schemeClr val="tx1"/>
              </a:solidFill>
              <a:prstDash val="solid"/>
            </a:ln>
          </c:spPr>
        </c:majorGridlines>
        <c:numFmt formatCode="General" sourceLinked="1"/>
        <c:majorTickMark val="out"/>
        <c:minorTickMark val="none"/>
        <c:tickLblPos val="nextTo"/>
        <c:txPr>
          <a:bodyPr rot="0" vert="horz"/>
          <a:lstStyle/>
          <a:p>
            <a:pPr>
              <a:defRPr/>
            </a:pPr>
            <a:endParaRPr lang="lt-LT"/>
          </a:p>
        </c:txPr>
        <c:crossAx val="64351232"/>
        <c:crosses val="autoZero"/>
        <c:crossBetween val="between"/>
      </c:valAx>
      <c:spPr>
        <a:ln cap="rnd">
          <a:solidFill>
            <a:schemeClr val="tx1"/>
          </a:solidFill>
          <a:prstDash val="solid"/>
        </a:ln>
      </c:spPr>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032573289902283E-2"/>
          <c:y val="5.2173913043478258E-2"/>
          <c:w val="0.92833876221498368"/>
          <c:h val="0.50099536559559443"/>
        </c:manualLayout>
      </c:layout>
      <c:lineChart>
        <c:grouping val="standard"/>
        <c:varyColors val="0"/>
        <c:ser>
          <c:idx val="0"/>
          <c:order val="0"/>
          <c:tx>
            <c:strRef>
              <c:f>Sheet1!$A$2</c:f>
              <c:strCache>
                <c:ptCount val="1"/>
                <c:pt idx="0">
                  <c:v>Parų sk., kai buvo viršyta kietųjų dalelių (KD10) paros ribinė vertė (50 µg/m3) miesto centre </c:v>
                </c:pt>
              </c:strCache>
            </c:strRef>
          </c:tx>
          <c:spPr>
            <a:ln w="27208">
              <a:solidFill>
                <a:srgbClr val="0000CC"/>
              </a:solidFill>
              <a:prstDash val="solid"/>
            </a:ln>
          </c:spPr>
          <c:marker>
            <c:symbol val="diamond"/>
            <c:size val="7"/>
            <c:spPr>
              <a:solidFill>
                <a:srgbClr val="000099"/>
              </a:solidFill>
              <a:ln>
                <a:solidFill>
                  <a:srgbClr val="0000CC"/>
                </a:solidFill>
                <a:prstDash val="solid"/>
              </a:ln>
            </c:spPr>
          </c:marker>
          <c:dPt>
            <c:idx val="6"/>
            <c:marker>
              <c:symbol val="auto"/>
            </c:marker>
            <c:bubble3D val="0"/>
            <c:spPr>
              <a:ln>
                <a:solidFill>
                  <a:srgbClr val="0000CC"/>
                </a:solidFill>
                <a:prstDash val="sysDash"/>
              </a:ln>
            </c:spPr>
          </c:dPt>
          <c:dPt>
            <c:idx val="7"/>
            <c:bubble3D val="0"/>
            <c:spPr>
              <a:ln w="27208">
                <a:solidFill>
                  <a:srgbClr val="0000CC"/>
                </a:solidFill>
                <a:prstDash val="sysDash"/>
              </a:ln>
            </c:spPr>
          </c:dPt>
          <c:dPt>
            <c:idx val="8"/>
            <c:bubble3D val="0"/>
            <c:spPr>
              <a:ln w="27208">
                <a:solidFill>
                  <a:srgbClr val="0000CC"/>
                </a:solidFill>
                <a:prstDash val="sysDash"/>
              </a:ln>
            </c:spPr>
          </c:dPt>
          <c:dLbls>
            <c:dLbl>
              <c:idx val="0"/>
              <c:layout>
                <c:manualLayout>
                  <c:x val="-6.840524142259663E-3"/>
                  <c:y val="1.6317436539320385E-3"/>
                </c:manualLayout>
              </c:layout>
              <c:dLblPos val="r"/>
              <c:showLegendKey val="0"/>
              <c:showVal val="1"/>
              <c:showCatName val="0"/>
              <c:showSerName val="0"/>
              <c:showPercent val="0"/>
              <c:showBubbleSize val="0"/>
            </c:dLbl>
            <c:dLbl>
              <c:idx val="1"/>
              <c:layout>
                <c:manualLayout>
                  <c:x val="-2.8556067195974921E-2"/>
                  <c:y val="-7.2281299824328793E-2"/>
                </c:manualLayout>
              </c:layout>
              <c:dLblPos val="r"/>
              <c:showLegendKey val="0"/>
              <c:showVal val="1"/>
              <c:showCatName val="0"/>
              <c:showSerName val="0"/>
              <c:showPercent val="0"/>
              <c:showBubbleSize val="0"/>
            </c:dLbl>
            <c:dLbl>
              <c:idx val="2"/>
              <c:layout>
                <c:manualLayout>
                  <c:x val="-6.2976688816120396E-3"/>
                  <c:y val="-4.6194248370852731E-2"/>
                </c:manualLayout>
              </c:layout>
              <c:dLblPos val="r"/>
              <c:showLegendKey val="0"/>
              <c:showVal val="1"/>
              <c:showCatName val="0"/>
              <c:showSerName val="0"/>
              <c:showPercent val="0"/>
              <c:showBubbleSize val="0"/>
            </c:dLbl>
            <c:dLbl>
              <c:idx val="3"/>
              <c:layout>
                <c:manualLayout>
                  <c:x val="-2.6384547440213235E-2"/>
                  <c:y val="-0.11575934235089905"/>
                </c:manualLayout>
              </c:layout>
              <c:dLblPos val="r"/>
              <c:showLegendKey val="0"/>
              <c:showVal val="1"/>
              <c:showCatName val="0"/>
              <c:showSerName val="0"/>
              <c:showPercent val="0"/>
              <c:showBubbleSize val="0"/>
            </c:dLbl>
            <c:dLbl>
              <c:idx val="4"/>
              <c:layout>
                <c:manualLayout>
                  <c:x val="-8.6882013562217253E-4"/>
                  <c:y val="-9.836803800307295E-2"/>
                </c:manualLayout>
              </c:layout>
              <c:dLblPos val="r"/>
              <c:showLegendKey val="0"/>
              <c:showVal val="1"/>
              <c:showCatName val="0"/>
              <c:showSerName val="0"/>
              <c:showPercent val="0"/>
              <c:showBubbleSize val="0"/>
            </c:dLbl>
            <c:dLbl>
              <c:idx val="5"/>
              <c:layout>
                <c:manualLayout>
                  <c:x val="-1.769836970399552E-2"/>
                  <c:y val="-0.11141153525028991"/>
                </c:manualLayout>
              </c:layout>
              <c:dLblPos val="r"/>
              <c:showLegendKey val="0"/>
              <c:showVal val="1"/>
              <c:showCatName val="0"/>
              <c:showSerName val="0"/>
              <c:showPercent val="0"/>
              <c:showBubbleSize val="0"/>
            </c:dLbl>
            <c:dLbl>
              <c:idx val="6"/>
              <c:layout>
                <c:manualLayout>
                  <c:x val="-2.638459679679872E-2"/>
                  <c:y val="-0.10706372814968076"/>
                </c:manualLayout>
              </c:layout>
              <c:tx>
                <c:rich>
                  <a:bodyPr/>
                  <a:lstStyle/>
                  <a:p>
                    <a:r>
                      <a:rPr lang="lt-LT" b="0"/>
                      <a:t>35</a:t>
                    </a:r>
                    <a:endParaRPr lang="en-US"/>
                  </a:p>
                </c:rich>
              </c:tx>
              <c:dLblPos val="r"/>
              <c:showLegendKey val="0"/>
              <c:showVal val="1"/>
              <c:showCatName val="0"/>
              <c:showSerName val="0"/>
              <c:showPercent val="0"/>
              <c:showBubbleSize val="0"/>
            </c:dLbl>
            <c:dLbl>
              <c:idx val="7"/>
              <c:layout>
                <c:manualLayout>
                  <c:x val="-2.6927501414031774E-2"/>
                  <c:y val="-9.8368094962115155E-2"/>
                </c:manualLayout>
              </c:layout>
              <c:tx>
                <c:rich>
                  <a:bodyPr/>
                  <a:lstStyle/>
                  <a:p>
                    <a:r>
                      <a:rPr lang="lt-LT" b="0"/>
                      <a:t>30</a:t>
                    </a:r>
                    <a:endParaRPr lang="en-US"/>
                  </a:p>
                </c:rich>
              </c:tx>
              <c:dLblPos val="r"/>
              <c:showLegendKey val="0"/>
              <c:showVal val="1"/>
              <c:showCatName val="0"/>
              <c:showSerName val="0"/>
              <c:showPercent val="0"/>
              <c:showBubbleSize val="0"/>
            </c:dLbl>
            <c:dLbl>
              <c:idx val="8"/>
              <c:tx>
                <c:rich>
                  <a:bodyPr/>
                  <a:lstStyle/>
                  <a:p>
                    <a:r>
                      <a:rPr lang="lt-LT" b="0"/>
                      <a:t>29</a:t>
                    </a:r>
                    <a:endParaRPr lang="en-US"/>
                  </a:p>
                </c:rich>
              </c:tx>
              <c:showLegendKey val="0"/>
              <c:showVal val="1"/>
              <c:showCatName val="0"/>
              <c:showSerName val="0"/>
              <c:showPercent val="0"/>
              <c:showBubbleSize val="0"/>
            </c:dLbl>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Sheet1!$B$2:$J$2</c:f>
              <c:numCache>
                <c:formatCode>General</c:formatCode>
                <c:ptCount val="9"/>
                <c:pt idx="0">
                  <c:v>29</c:v>
                </c:pt>
                <c:pt idx="1">
                  <c:v>32</c:v>
                </c:pt>
                <c:pt idx="2">
                  <c:v>32</c:v>
                </c:pt>
                <c:pt idx="3">
                  <c:v>28</c:v>
                </c:pt>
                <c:pt idx="4">
                  <c:v>35</c:v>
                </c:pt>
                <c:pt idx="5">
                  <c:v>37</c:v>
                </c:pt>
                <c:pt idx="6">
                  <c:v>35</c:v>
                </c:pt>
                <c:pt idx="7">
                  <c:v>35</c:v>
                </c:pt>
                <c:pt idx="8">
                  <c:v>35</c:v>
                </c:pt>
              </c:numCache>
            </c:numRef>
          </c:val>
          <c:smooth val="0"/>
        </c:ser>
        <c:ser>
          <c:idx val="1"/>
          <c:order val="1"/>
          <c:tx>
            <c:strRef>
              <c:f>Sheet1!$A$3</c:f>
              <c:strCache>
                <c:ptCount val="1"/>
                <c:pt idx="0">
                  <c:v>Parų sk., kai buvo viršyta kietųjų dalelių (KD10) paros ribinė vertė (50 µg/m3) Šilutės plente</c:v>
                </c:pt>
              </c:strCache>
            </c:strRef>
          </c:tx>
          <c:spPr>
            <a:ln w="27208">
              <a:solidFill>
                <a:srgbClr val="FF66FF"/>
              </a:solidFill>
              <a:prstDash val="solid"/>
            </a:ln>
          </c:spPr>
          <c:marker>
            <c:symbol val="square"/>
            <c:size val="7"/>
            <c:spPr>
              <a:solidFill>
                <a:srgbClr val="FF00FF"/>
              </a:solidFill>
              <a:ln>
                <a:solidFill>
                  <a:srgbClr val="FF00FF"/>
                </a:solidFill>
                <a:prstDash val="solid"/>
              </a:ln>
            </c:spPr>
          </c:marker>
          <c:dPt>
            <c:idx val="6"/>
            <c:marker>
              <c:symbol val="auto"/>
            </c:marker>
            <c:bubble3D val="0"/>
            <c:spPr>
              <a:ln>
                <a:solidFill>
                  <a:srgbClr val="FF66FF"/>
                </a:solidFill>
                <a:prstDash val="sysDash"/>
              </a:ln>
            </c:spPr>
          </c:dPt>
          <c:dPt>
            <c:idx val="7"/>
            <c:bubble3D val="0"/>
            <c:spPr>
              <a:ln w="27208">
                <a:solidFill>
                  <a:srgbClr val="FF66FF"/>
                </a:solidFill>
                <a:prstDash val="sysDash"/>
              </a:ln>
            </c:spPr>
          </c:dPt>
          <c:dPt>
            <c:idx val="8"/>
            <c:bubble3D val="0"/>
            <c:spPr>
              <a:ln w="27208">
                <a:solidFill>
                  <a:srgbClr val="FF66FF"/>
                </a:solidFill>
                <a:prstDash val="sysDash"/>
              </a:ln>
            </c:spPr>
          </c:dPt>
          <c:dLbls>
            <c:dLbl>
              <c:idx val="0"/>
              <c:layout>
                <c:manualLayout>
                  <c:x val="-1.9869840103171721E-2"/>
                  <c:y val="-8.5324426837771583E-2"/>
                </c:manualLayout>
              </c:layout>
              <c:dLblPos val="r"/>
              <c:showLegendKey val="0"/>
              <c:showVal val="1"/>
              <c:showCatName val="0"/>
              <c:showSerName val="0"/>
              <c:showPercent val="0"/>
              <c:showBubbleSize val="0"/>
            </c:dLbl>
            <c:dLbl>
              <c:idx val="1"/>
              <c:layout>
                <c:manualLayout>
                  <c:x val="-5.7547642643788477E-3"/>
                  <c:y val="-1.1411630182026844E-2"/>
                </c:manualLayout>
              </c:layout>
              <c:dLblPos val="r"/>
              <c:showLegendKey val="0"/>
              <c:showVal val="1"/>
              <c:showCatName val="0"/>
              <c:showSerName val="0"/>
              <c:showPercent val="0"/>
              <c:showBubbleSize val="0"/>
            </c:dLbl>
            <c:dLbl>
              <c:idx val="2"/>
              <c:layout>
                <c:manualLayout>
                  <c:x val="-5.5518416242180006E-2"/>
                  <c:y val="-5.5459557418749118E-2"/>
                </c:manualLayout>
              </c:layout>
              <c:showLegendKey val="0"/>
              <c:showVal val="1"/>
              <c:showCatName val="0"/>
              <c:showSerName val="0"/>
              <c:showPercent val="0"/>
              <c:showBubbleSize val="0"/>
            </c:dLbl>
            <c:dLbl>
              <c:idx val="3"/>
              <c:layout>
                <c:manualLayout>
                  <c:x val="-5.2119090037311966E-3"/>
                  <c:y val="-1.1411345386815985E-2"/>
                </c:manualLayout>
              </c:layout>
              <c:dLblPos val="r"/>
              <c:showLegendKey val="0"/>
              <c:showVal val="1"/>
              <c:showCatName val="0"/>
              <c:showSerName val="0"/>
              <c:showPercent val="0"/>
              <c:showBubbleSize val="0"/>
            </c:dLbl>
            <c:dLbl>
              <c:idx val="4"/>
              <c:layout>
                <c:manualLayout>
                  <c:x val="-4.1585432513472353E-2"/>
                  <c:y val="1.632151860400971E-3"/>
                </c:manualLayout>
              </c:layout>
              <c:dLblPos val="r"/>
              <c:showLegendKey val="0"/>
              <c:showVal val="1"/>
              <c:showCatName val="0"/>
              <c:showSerName val="0"/>
              <c:showPercent val="0"/>
              <c:showBubbleSize val="0"/>
            </c:dLbl>
            <c:dLbl>
              <c:idx val="5"/>
              <c:layout>
                <c:manualLayout>
                  <c:x val="-5.841498208184559E-2"/>
                  <c:y val="-3.7498653155981887E-2"/>
                </c:manualLayout>
              </c:layout>
              <c:dLblPos val="r"/>
              <c:showLegendKey val="0"/>
              <c:showVal val="1"/>
              <c:showCatName val="0"/>
              <c:showSerName val="0"/>
              <c:showPercent val="0"/>
              <c:showBubbleSize val="0"/>
            </c:dLbl>
            <c:dLbl>
              <c:idx val="6"/>
              <c:layout>
                <c:manualLayout>
                  <c:x val="-2.1498674417947748E-2"/>
                  <c:y val="-4.0783833542360266E-2"/>
                </c:manualLayout>
              </c:layout>
              <c:tx>
                <c:rich>
                  <a:bodyPr/>
                  <a:lstStyle/>
                  <a:p>
                    <a:r>
                      <a:rPr lang="lt-LT" b="0"/>
                      <a:t>25</a:t>
                    </a:r>
                    <a:endParaRPr lang="en-US"/>
                  </a:p>
                </c:rich>
              </c:tx>
              <c:dLblPos val="r"/>
              <c:showLegendKey val="0"/>
              <c:showVal val="1"/>
              <c:showCatName val="0"/>
              <c:showSerName val="0"/>
              <c:showPercent val="0"/>
              <c:showBubbleSize val="0"/>
            </c:dLbl>
            <c:dLbl>
              <c:idx val="7"/>
              <c:layout>
                <c:manualLayout>
                  <c:x val="-2.5298836918917877E-2"/>
                  <c:y val="-5.9237859536154125E-2"/>
                </c:manualLayout>
              </c:layout>
              <c:tx>
                <c:rich>
                  <a:bodyPr/>
                  <a:lstStyle/>
                  <a:p>
                    <a:r>
                      <a:rPr lang="lt-LT" b="0"/>
                      <a:t>20</a:t>
                    </a:r>
                    <a:endParaRPr lang="en-US"/>
                  </a:p>
                </c:rich>
              </c:tx>
              <c:dLblPos val="r"/>
              <c:showLegendKey val="0"/>
              <c:showVal val="1"/>
              <c:showCatName val="0"/>
              <c:showSerName val="0"/>
              <c:showPercent val="0"/>
              <c:showBubbleSize val="0"/>
            </c:dLbl>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trendline>
            <c:spPr>
              <a:ln w="3175" cmpd="sng"/>
            </c:spPr>
            <c:trendlineType val="linear"/>
            <c:dispRSqr val="0"/>
            <c:dispEq val="0"/>
          </c:trendline>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Sheet1!$B$3:$J$3</c:f>
              <c:numCache>
                <c:formatCode>General</c:formatCode>
                <c:ptCount val="9"/>
                <c:pt idx="0">
                  <c:v>33</c:v>
                </c:pt>
                <c:pt idx="1">
                  <c:v>22</c:v>
                </c:pt>
                <c:pt idx="2">
                  <c:v>26</c:v>
                </c:pt>
                <c:pt idx="3">
                  <c:v>17</c:v>
                </c:pt>
                <c:pt idx="4">
                  <c:v>26</c:v>
                </c:pt>
                <c:pt idx="5">
                  <c:v>27</c:v>
                </c:pt>
                <c:pt idx="6">
                  <c:v>26</c:v>
                </c:pt>
                <c:pt idx="7">
                  <c:v>26</c:v>
                </c:pt>
                <c:pt idx="8">
                  <c:v>26</c:v>
                </c:pt>
              </c:numCache>
            </c:numRef>
          </c:val>
          <c:smooth val="0"/>
        </c:ser>
        <c:ser>
          <c:idx val="2"/>
          <c:order val="2"/>
          <c:tx>
            <c:strRef>
              <c:f>Sheet1!$A$4</c:f>
              <c:strCache>
                <c:ptCount val="1"/>
                <c:pt idx="0">
                  <c:v>Parų sk., kai buvo viršyta KD2,5, SO2, NO2, O3, CO paros ribinė vertė mieste </c:v>
                </c:pt>
              </c:strCache>
            </c:strRef>
          </c:tx>
          <c:dPt>
            <c:idx val="6"/>
            <c:bubble3D val="0"/>
          </c:dPt>
          <c:dPt>
            <c:idx val="7"/>
            <c:bubble3D val="0"/>
          </c:dPt>
          <c:dPt>
            <c:idx val="8"/>
            <c:bubble3D val="0"/>
          </c:dPt>
          <c:dLbls>
            <c:dLbl>
              <c:idx val="5"/>
              <c:layout>
                <c:manualLayout>
                  <c:x val="-1.3931523084589226E-2"/>
                  <c:y val="-5.488970118811809E-2"/>
                </c:manualLayout>
              </c:layout>
              <c:dLblPos val="r"/>
              <c:showLegendKey val="0"/>
              <c:showVal val="1"/>
              <c:showCatName val="0"/>
              <c:showSerName val="0"/>
              <c:showPercent val="0"/>
              <c:showBubbleSize val="0"/>
            </c:dLbl>
            <c:dLbl>
              <c:idx val="6"/>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dLbl>
              <c:idx val="7"/>
              <c:layout>
                <c:manualLayout>
                  <c:x val="-3.7818635250651544E-2"/>
                  <c:y val="5.9796361931043762E-3"/>
                </c:manualLayout>
              </c:layout>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8.5412948064892327E-3"/>
                  <c:y val="-2.2183638605819449E-2"/>
                </c:manualLayout>
              </c:layout>
              <c:tx>
                <c:rich>
                  <a:bodyPr/>
                  <a:lstStyle/>
                  <a:p>
                    <a:pPr>
                      <a:defRPr sz="800" b="0" i="0" u="none" strike="noStrike" baseline="0">
                        <a:solidFill>
                          <a:srgbClr val="000000"/>
                        </a:solidFill>
                        <a:latin typeface="Times New Roman"/>
                        <a:ea typeface="Times New Roman"/>
                        <a:cs typeface="Times New Roman"/>
                      </a:defRPr>
                    </a:pPr>
                    <a:r>
                      <a:rPr lang="lt-LT"/>
                      <a:t>0</a:t>
                    </a:r>
                    <a:endParaRPr lang="en-US"/>
                  </a:p>
                </c:rich>
              </c:tx>
              <c:spPr>
                <a:noFill/>
                <a:ln w="27208">
                  <a:noFill/>
                </a:ln>
              </c:spPr>
              <c:showLegendKey val="0"/>
              <c:showVal val="1"/>
              <c:showCatName val="0"/>
              <c:showSerName val="0"/>
              <c:showPercent val="0"/>
              <c:showBubbleSize val="0"/>
            </c:dLbl>
            <c:spPr>
              <a:noFill/>
              <a:ln w="27208">
                <a:noFill/>
              </a:ln>
            </c:spPr>
            <c:txPr>
              <a:bodyPr/>
              <a:lstStyle/>
              <a:p>
                <a:pPr>
                  <a:defRPr sz="8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trendline>
            <c:trendlineType val="linear"/>
            <c:dispRSqr val="0"/>
            <c:dispEq val="0"/>
          </c:trendline>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Sheet1!$B$4:$J$4</c:f>
              <c:numCache>
                <c:formatCode>General</c:formatCode>
                <c:ptCount val="9"/>
                <c:pt idx="0">
                  <c:v>0</c:v>
                </c:pt>
                <c:pt idx="1">
                  <c:v>0</c:v>
                </c:pt>
                <c:pt idx="2">
                  <c:v>0</c:v>
                </c:pt>
                <c:pt idx="3">
                  <c:v>2</c:v>
                </c:pt>
                <c:pt idx="4">
                  <c:v>0</c:v>
                </c:pt>
                <c:pt idx="5">
                  <c:v>0</c:v>
                </c:pt>
                <c:pt idx="6">
                  <c:v>0</c:v>
                </c:pt>
                <c:pt idx="7">
                  <c:v>0</c:v>
                </c:pt>
                <c:pt idx="8">
                  <c:v>0</c:v>
                </c:pt>
              </c:numCache>
            </c:numRef>
          </c:val>
          <c:smooth val="0"/>
        </c:ser>
        <c:dLbls>
          <c:showLegendKey val="0"/>
          <c:showVal val="0"/>
          <c:showCatName val="0"/>
          <c:showSerName val="0"/>
          <c:showPercent val="0"/>
          <c:showBubbleSize val="0"/>
        </c:dLbls>
        <c:marker val="1"/>
        <c:smooth val="0"/>
        <c:axId val="64948480"/>
        <c:axId val="64995328"/>
      </c:lineChart>
      <c:catAx>
        <c:axId val="64948480"/>
        <c:scaling>
          <c:orientation val="minMax"/>
        </c:scaling>
        <c:delete val="0"/>
        <c:axPos val="b"/>
        <c:numFmt formatCode="General" sourceLinked="1"/>
        <c:majorTickMark val="out"/>
        <c:minorTickMark val="none"/>
        <c:tickLblPos val="nextTo"/>
        <c:spPr>
          <a:ln w="3401">
            <a:solidFill>
              <a:srgbClr val="000000"/>
            </a:solidFill>
            <a:prstDash val="solid"/>
          </a:ln>
        </c:spPr>
        <c:txPr>
          <a:bodyPr rot="0" vert="horz"/>
          <a:lstStyle/>
          <a:p>
            <a:pPr>
              <a:defRPr sz="1018" b="0" i="0" u="none" strike="noStrike" baseline="0">
                <a:solidFill>
                  <a:srgbClr val="000000"/>
                </a:solidFill>
                <a:latin typeface="Times New Roman"/>
                <a:ea typeface="Times New Roman"/>
                <a:cs typeface="Times New Roman"/>
              </a:defRPr>
            </a:pPr>
            <a:endParaRPr lang="lt-LT"/>
          </a:p>
        </c:txPr>
        <c:crossAx val="64995328"/>
        <c:crosses val="autoZero"/>
        <c:auto val="1"/>
        <c:lblAlgn val="ctr"/>
        <c:lblOffset val="100"/>
        <c:tickLblSkip val="1"/>
        <c:tickMarkSkip val="1"/>
        <c:noMultiLvlLbl val="0"/>
      </c:catAx>
      <c:valAx>
        <c:axId val="64995328"/>
        <c:scaling>
          <c:orientation val="minMax"/>
        </c:scaling>
        <c:delete val="0"/>
        <c:axPos val="l"/>
        <c:majorGridlines>
          <c:spPr>
            <a:ln w="13604">
              <a:solidFill>
                <a:srgbClr val="000000"/>
              </a:solidFill>
              <a:prstDash val="sysDash"/>
            </a:ln>
          </c:spPr>
        </c:majorGridlines>
        <c:numFmt formatCode="General" sourceLinked="1"/>
        <c:majorTickMark val="out"/>
        <c:minorTickMark val="none"/>
        <c:tickLblPos val="nextTo"/>
        <c:spPr>
          <a:ln w="3401">
            <a:solidFill>
              <a:srgbClr val="000000"/>
            </a:solidFill>
            <a:prstDash val="solid"/>
          </a:ln>
        </c:spPr>
        <c:txPr>
          <a:bodyPr rot="0" vert="horz"/>
          <a:lstStyle/>
          <a:p>
            <a:pPr>
              <a:defRPr sz="1018" b="0" i="0" u="none" strike="noStrike" baseline="0">
                <a:solidFill>
                  <a:srgbClr val="000000"/>
                </a:solidFill>
                <a:latin typeface="Times New Roman"/>
                <a:ea typeface="Times New Roman"/>
                <a:cs typeface="Times New Roman"/>
              </a:defRPr>
            </a:pPr>
            <a:endParaRPr lang="lt-LT"/>
          </a:p>
        </c:txPr>
        <c:crossAx val="64948480"/>
        <c:crosses val="autoZero"/>
        <c:crossBetween val="between"/>
      </c:valAx>
      <c:spPr>
        <a:noFill/>
        <a:ln w="13604">
          <a:solidFill>
            <a:srgbClr val="000000"/>
          </a:solidFill>
          <a:prstDash val="sysDash"/>
        </a:ln>
      </c:spPr>
    </c:plotArea>
    <c:legend>
      <c:legendPos val="b"/>
      <c:layout>
        <c:manualLayout>
          <c:xMode val="edge"/>
          <c:yMode val="edge"/>
          <c:x val="8.6319218241042342E-2"/>
          <c:y val="0.70869565217391306"/>
          <c:w val="0.85179153094462545"/>
          <c:h val="0.28695652173913044"/>
        </c:manualLayout>
      </c:layout>
      <c:overlay val="0"/>
      <c:spPr>
        <a:noFill/>
        <a:ln w="3401">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107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22353042474842E-2"/>
          <c:y val="0.1208792650918635"/>
          <c:w val="0.90859232175502747"/>
          <c:h val="0.65934065934065933"/>
        </c:manualLayout>
      </c:layout>
      <c:lineChart>
        <c:grouping val="standard"/>
        <c:varyColors val="0"/>
        <c:ser>
          <c:idx val="0"/>
          <c:order val="0"/>
          <c:tx>
            <c:strRef>
              <c:f>Sheet1!$A$2</c:f>
              <c:strCache>
                <c:ptCount val="1"/>
                <c:pt idx="0">
                  <c:v>Rytai</c:v>
                </c:pt>
              </c:strCache>
            </c:strRef>
          </c:tx>
          <c:spPr>
            <a:ln w="25401">
              <a:solidFill>
                <a:srgbClr val="000080"/>
              </a:solidFill>
              <a:prstDash val="solid"/>
            </a:ln>
          </c:spPr>
          <c:marker>
            <c:symbol val="diamond"/>
            <c:size val="7"/>
            <c:spPr>
              <a:solidFill>
                <a:srgbClr val="000099"/>
              </a:solidFill>
              <a:ln>
                <a:solidFill>
                  <a:srgbClr val="000080"/>
                </a:solidFill>
                <a:prstDash val="solid"/>
              </a:ln>
            </c:spPr>
          </c:marker>
          <c:dPt>
            <c:idx val="6"/>
            <c:bubble3D val="0"/>
            <c:spPr>
              <a:ln w="25401">
                <a:solidFill>
                  <a:srgbClr val="000080"/>
                </a:solidFill>
                <a:prstDash val="sysDash"/>
              </a:ln>
            </c:spPr>
          </c:dPt>
          <c:dPt>
            <c:idx val="7"/>
            <c:bubble3D val="0"/>
            <c:spPr>
              <a:ln w="25401">
                <a:solidFill>
                  <a:srgbClr val="000080"/>
                </a:solidFill>
                <a:prstDash val="sysDash"/>
              </a:ln>
            </c:spPr>
          </c:dPt>
          <c:dPt>
            <c:idx val="8"/>
            <c:bubble3D val="0"/>
            <c:spPr>
              <a:ln w="25401">
                <a:solidFill>
                  <a:srgbClr val="000080"/>
                </a:solidFill>
                <a:prstDash val="sysDash"/>
              </a:ln>
            </c:spPr>
          </c:dPt>
          <c:dLbls>
            <c:dLbl>
              <c:idx val="0"/>
              <c:layout>
                <c:manualLayout>
                  <c:x val="-3.2904514813827515E-2"/>
                  <c:y val="-9.3608923884514431E-2"/>
                </c:manualLayout>
              </c:layout>
              <c:dLblPos val="r"/>
              <c:showLegendKey val="0"/>
              <c:showVal val="1"/>
              <c:showCatName val="0"/>
              <c:showSerName val="0"/>
              <c:showPercent val="0"/>
              <c:showBubbleSize val="0"/>
            </c:dLbl>
            <c:dLbl>
              <c:idx val="1"/>
              <c:layout>
                <c:manualLayout>
                  <c:x val="-3.4101449367995244E-2"/>
                  <c:y val="-9.250984251968504E-2"/>
                </c:manualLayout>
              </c:layout>
              <c:dLblPos val="r"/>
              <c:showLegendKey val="0"/>
              <c:showVal val="1"/>
              <c:showCatName val="0"/>
              <c:showSerName val="0"/>
              <c:showPercent val="0"/>
              <c:showBubbleSize val="0"/>
            </c:dLbl>
            <c:dLbl>
              <c:idx val="2"/>
              <c:layout>
                <c:manualLayout>
                  <c:x val="-4.0783190354139978E-2"/>
                  <c:y val="-8.168963254593177E-2"/>
                </c:manualLayout>
              </c:layout>
              <c:dLblPos val="r"/>
              <c:showLegendKey val="0"/>
              <c:showVal val="1"/>
              <c:showCatName val="0"/>
              <c:showSerName val="0"/>
              <c:showPercent val="0"/>
              <c:showBubbleSize val="0"/>
            </c:dLbl>
            <c:dLbl>
              <c:idx val="3"/>
              <c:layout>
                <c:manualLayout>
                  <c:x val="-1.9115234700311425E-2"/>
                  <c:y val="-7.237915573053369E-2"/>
                </c:manualLayout>
              </c:layout>
              <c:dLblPos val="r"/>
              <c:showLegendKey val="0"/>
              <c:showVal val="1"/>
              <c:showCatName val="0"/>
              <c:showSerName val="0"/>
              <c:showPercent val="0"/>
              <c:showBubbleSize val="0"/>
            </c:dLbl>
            <c:dLbl>
              <c:idx val="4"/>
              <c:layout>
                <c:manualLayout>
                  <c:x val="-2.1731120411202572E-2"/>
                  <c:y val="-8.3718832020997377E-2"/>
                </c:manualLayout>
              </c:layout>
              <c:dLblPos val="r"/>
              <c:showLegendKey val="0"/>
              <c:showVal val="1"/>
              <c:showCatName val="0"/>
              <c:showSerName val="0"/>
              <c:showPercent val="0"/>
              <c:showBubbleSize val="0"/>
            </c:dLbl>
            <c:dLbl>
              <c:idx val="5"/>
              <c:layout>
                <c:manualLayout>
                  <c:x val="-2.5916246112035746E-2"/>
                  <c:y val="-7.0532006816455647E-2"/>
                </c:manualLayout>
              </c:layout>
              <c:dLblPos val="r"/>
              <c:showLegendKey val="0"/>
              <c:showVal val="1"/>
              <c:showCatName val="0"/>
              <c:showSerName val="0"/>
              <c:showPercent val="0"/>
              <c:showBubbleSize val="0"/>
            </c:dLbl>
            <c:dLbl>
              <c:idx val="6"/>
              <c:layout>
                <c:manualLayout>
                  <c:x val="-1.3347831689789187E-2"/>
                  <c:y val="-5.9542713410823678E-2"/>
                </c:manualLayout>
              </c:layout>
              <c:dLblPos val="r"/>
              <c:showLegendKey val="0"/>
              <c:showVal val="1"/>
              <c:showCatName val="0"/>
              <c:showSerName val="0"/>
              <c:showPercent val="0"/>
              <c:showBubbleSize val="0"/>
            </c:dLbl>
            <c:dLbl>
              <c:idx val="7"/>
              <c:layout>
                <c:manualLayout>
                  <c:x val="-1.7232611361288491E-2"/>
                  <c:y val="-7.6026494284368293E-2"/>
                </c:manualLayout>
              </c:layout>
              <c:dLblPos val="r"/>
              <c:showLegendKey val="0"/>
              <c:showVal val="1"/>
              <c:showCatName val="0"/>
              <c:showSerName val="0"/>
              <c:showPercent val="0"/>
              <c:showBubbleSize val="0"/>
            </c:dLbl>
            <c:spPr>
              <a:noFill/>
              <a:ln w="25401">
                <a:noFill/>
              </a:ln>
            </c:spPr>
            <c:txPr>
              <a:bodyPr/>
              <a:lstStyle/>
              <a:p>
                <a:pPr>
                  <a:defRPr sz="10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Sheet1!$B$2:$J$2</c:f>
              <c:numCache>
                <c:formatCode>General</c:formatCode>
                <c:ptCount val="9"/>
                <c:pt idx="0">
                  <c:v>145.80000000000001</c:v>
                </c:pt>
                <c:pt idx="1">
                  <c:v>135</c:v>
                </c:pt>
                <c:pt idx="2">
                  <c:v>161.4</c:v>
                </c:pt>
                <c:pt idx="3">
                  <c:v>144.4</c:v>
                </c:pt>
                <c:pt idx="4">
                  <c:v>141.6</c:v>
                </c:pt>
                <c:pt idx="5">
                  <c:v>130</c:v>
                </c:pt>
                <c:pt idx="6">
                  <c:v>120</c:v>
                </c:pt>
                <c:pt idx="7">
                  <c:v>110</c:v>
                </c:pt>
                <c:pt idx="8">
                  <c:v>105</c:v>
                </c:pt>
              </c:numCache>
            </c:numRef>
          </c:val>
          <c:smooth val="0"/>
        </c:ser>
        <c:dLbls>
          <c:showLegendKey val="0"/>
          <c:showVal val="1"/>
          <c:showCatName val="0"/>
          <c:showSerName val="0"/>
          <c:showPercent val="0"/>
          <c:showBubbleSize val="0"/>
        </c:dLbls>
        <c:marker val="1"/>
        <c:smooth val="0"/>
        <c:axId val="72206976"/>
        <c:axId val="77433472"/>
      </c:lineChart>
      <c:catAx>
        <c:axId val="72206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77433472"/>
        <c:crosses val="autoZero"/>
        <c:auto val="1"/>
        <c:lblAlgn val="ctr"/>
        <c:lblOffset val="100"/>
        <c:tickLblSkip val="1"/>
        <c:tickMarkSkip val="1"/>
        <c:noMultiLvlLbl val="0"/>
      </c:catAx>
      <c:valAx>
        <c:axId val="77433472"/>
        <c:scaling>
          <c:orientation val="minMax"/>
          <c:min val="50"/>
        </c:scaling>
        <c:delete val="0"/>
        <c:axPos val="l"/>
        <c:majorGridlines>
          <c:spPr>
            <a:ln w="12701">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72206976"/>
        <c:crosses val="autoZero"/>
        <c:crossBetween val="between"/>
      </c:valAx>
      <c:spPr>
        <a:noFill/>
        <a:ln w="12701">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73196288277686E-2"/>
          <c:y val="6.6876988058611878E-2"/>
          <c:w val="0.89536878216123494"/>
          <c:h val="0.80365296803652964"/>
        </c:manualLayout>
      </c:layout>
      <c:lineChart>
        <c:grouping val="standard"/>
        <c:varyColors val="0"/>
        <c:ser>
          <c:idx val="0"/>
          <c:order val="0"/>
          <c:tx>
            <c:strRef>
              <c:f>Sheet1!$A$2</c:f>
              <c:strCache>
                <c:ptCount val="1"/>
                <c:pt idx="0">
                  <c:v>Gyventojų metinė kaita, proc.</c:v>
                </c:pt>
              </c:strCache>
            </c:strRef>
          </c:tx>
          <c:spPr>
            <a:ln w="25369">
              <a:solidFill>
                <a:srgbClr val="000080"/>
              </a:solidFill>
              <a:prstDash val="solid"/>
            </a:ln>
          </c:spPr>
          <c:marker>
            <c:symbol val="diamond"/>
            <c:size val="6"/>
            <c:spPr>
              <a:solidFill>
                <a:srgbClr val="000080"/>
              </a:solidFill>
              <a:ln>
                <a:solidFill>
                  <a:srgbClr val="000080"/>
                </a:solidFill>
                <a:prstDash val="solid"/>
              </a:ln>
            </c:spPr>
          </c:marker>
          <c:dPt>
            <c:idx val="7"/>
            <c:bubble3D val="0"/>
            <c:spPr>
              <a:ln w="25369">
                <a:solidFill>
                  <a:srgbClr val="000080"/>
                </a:solidFill>
                <a:prstDash val="sysDash"/>
              </a:ln>
            </c:spPr>
          </c:dPt>
          <c:dPt>
            <c:idx val="8"/>
            <c:bubble3D val="0"/>
            <c:spPr>
              <a:ln w="25369">
                <a:solidFill>
                  <a:srgbClr val="000080"/>
                </a:solidFill>
                <a:prstDash val="sysDash"/>
              </a:ln>
            </c:spPr>
          </c:dPt>
          <c:dLbls>
            <c:dLbl>
              <c:idx val="0"/>
              <c:layout>
                <c:manualLayout>
                  <c:x val="-6.7851744049076193E-2"/>
                  <c:y val="-4.0032441989518372E-2"/>
                </c:manualLayout>
              </c:layout>
              <c:dLblPos val="r"/>
              <c:showLegendKey val="0"/>
              <c:showVal val="1"/>
              <c:showCatName val="0"/>
              <c:showSerName val="0"/>
              <c:showPercent val="0"/>
              <c:showBubbleSize val="0"/>
            </c:dLbl>
            <c:dLbl>
              <c:idx val="1"/>
              <c:layout>
                <c:manualLayout>
                  <c:x val="-3.3450088620415892E-3"/>
                  <c:y val="-3.1600645902202185E-2"/>
                </c:manualLayout>
              </c:layout>
              <c:dLblPos val="r"/>
              <c:showLegendKey val="0"/>
              <c:showVal val="1"/>
              <c:showCatName val="0"/>
              <c:showSerName val="0"/>
              <c:showPercent val="0"/>
              <c:showBubbleSize val="0"/>
            </c:dLbl>
            <c:dLbl>
              <c:idx val="2"/>
              <c:layout>
                <c:manualLayout>
                  <c:x val="-1.6815914334896917E-2"/>
                  <c:y val="-8.4054954930971273E-2"/>
                </c:manualLayout>
              </c:layout>
              <c:dLblPos val="r"/>
              <c:showLegendKey val="0"/>
              <c:showVal val="1"/>
              <c:showCatName val="0"/>
              <c:showSerName val="0"/>
              <c:showPercent val="0"/>
              <c:showBubbleSize val="0"/>
            </c:dLbl>
            <c:dLbl>
              <c:idx val="4"/>
              <c:layout>
                <c:manualLayout>
                  <c:x val="-4.457006433172625E-2"/>
                  <c:y val="-7.4901154747555612E-2"/>
                </c:manualLayout>
              </c:layout>
              <c:dLblPos val="r"/>
              <c:showLegendKey val="0"/>
              <c:showVal val="1"/>
              <c:showCatName val="0"/>
              <c:showSerName val="0"/>
              <c:showPercent val="0"/>
              <c:showBubbleSize val="0"/>
            </c:dLbl>
            <c:dLbl>
              <c:idx val="5"/>
              <c:layout>
                <c:manualLayout>
                  <c:x val="-4.2657204721903465E-2"/>
                  <c:y val="-7.9707827428816755E-2"/>
                </c:manualLayout>
              </c:layout>
              <c:tx>
                <c:rich>
                  <a:bodyPr/>
                  <a:lstStyle/>
                  <a:p>
                    <a:r>
                      <a:rPr lang="lt-LT"/>
                      <a:t>-1,3</a:t>
                    </a:r>
                  </a:p>
                </c:rich>
              </c:tx>
              <c:dLblPos val="r"/>
              <c:showLegendKey val="0"/>
              <c:showVal val="0"/>
              <c:showCatName val="0"/>
              <c:showSerName val="0"/>
              <c:showPercent val="0"/>
              <c:showBubbleSize val="0"/>
            </c:dLbl>
            <c:dLbl>
              <c:idx val="6"/>
              <c:layout>
                <c:manualLayout>
                  <c:x val="-4.2657102330233315E-2"/>
                  <c:y val="-6.5461342125440913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4.3332547591537374E-2"/>
                  <c:y val="-7.0044959827289185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2.9094168519483456E-2"/>
                  <c:y val="6.9951350763337236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dLbl>
              <c:idx val="9"/>
              <c:layout>
                <c:manualLayout>
                  <c:x val="-3.3461358893010426E-2"/>
                  <c:y val="7.5780629993615276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5369">
                <a:noFill/>
              </a:ln>
            </c:spPr>
            <c:txPr>
              <a:bodyPr/>
              <a:lstStyle/>
              <a:p>
                <a:pPr>
                  <a:defRPr sz="974"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Sheet1!$B$2:$K$2</c:f>
              <c:numCache>
                <c:formatCode>General</c:formatCode>
                <c:ptCount val="10"/>
                <c:pt idx="0">
                  <c:v>-1.37</c:v>
                </c:pt>
                <c:pt idx="1">
                  <c:v>-1.28</c:v>
                </c:pt>
                <c:pt idx="2">
                  <c:v>-2.1800000000000002</c:v>
                </c:pt>
                <c:pt idx="3">
                  <c:v>-2.27</c:v>
                </c:pt>
                <c:pt idx="4">
                  <c:v>-1.36</c:v>
                </c:pt>
                <c:pt idx="5">
                  <c:v>-1.3</c:v>
                </c:pt>
                <c:pt idx="6">
                  <c:v>-0.9</c:v>
                </c:pt>
                <c:pt idx="7">
                  <c:v>-0.8</c:v>
                </c:pt>
                <c:pt idx="8">
                  <c:v>-0.7</c:v>
                </c:pt>
                <c:pt idx="9">
                  <c:v>-0.65</c:v>
                </c:pt>
              </c:numCache>
            </c:numRef>
          </c:val>
          <c:smooth val="0"/>
        </c:ser>
        <c:dLbls>
          <c:showLegendKey val="0"/>
          <c:showVal val="1"/>
          <c:showCatName val="0"/>
          <c:showSerName val="0"/>
          <c:showPercent val="0"/>
          <c:showBubbleSize val="0"/>
        </c:dLbls>
        <c:marker val="1"/>
        <c:smooth val="0"/>
        <c:axId val="79655680"/>
        <c:axId val="79657216"/>
      </c:lineChart>
      <c:catAx>
        <c:axId val="79655680"/>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lt-LT"/>
          </a:p>
        </c:txPr>
        <c:crossAx val="79657216"/>
        <c:crosses val="autoZero"/>
        <c:auto val="1"/>
        <c:lblAlgn val="ctr"/>
        <c:lblOffset val="100"/>
        <c:tickLblSkip val="1"/>
        <c:tickMarkSkip val="1"/>
        <c:noMultiLvlLbl val="0"/>
      </c:catAx>
      <c:valAx>
        <c:axId val="79657216"/>
        <c:scaling>
          <c:orientation val="minMax"/>
        </c:scaling>
        <c:delete val="0"/>
        <c:axPos val="l"/>
        <c:majorGridlines>
          <c:spPr>
            <a:ln w="12685">
              <a:solidFill>
                <a:srgbClr val="000000"/>
              </a:solidFill>
              <a:prstDash val="sysDash"/>
            </a:ln>
          </c:spPr>
        </c:majorGridlines>
        <c:numFmt formatCode="General" sourceLinked="1"/>
        <c:majorTickMark val="out"/>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lt-LT"/>
          </a:p>
        </c:txPr>
        <c:crossAx val="79655680"/>
        <c:crosses val="autoZero"/>
        <c:crossBetween val="between"/>
      </c:valAx>
      <c:spPr>
        <a:noFill/>
        <a:ln w="9525" cap="sq">
          <a:solidFill>
            <a:srgbClr val="808080"/>
          </a:solidFill>
          <a:prstDash val="solid"/>
        </a:ln>
      </c:spPr>
    </c:plotArea>
    <c:plotVisOnly val="1"/>
    <c:dispBlanksAs val="gap"/>
    <c:showDLblsOverMax val="0"/>
  </c:chart>
  <c:spPr>
    <a:noFill/>
    <a:ln>
      <a:noFill/>
    </a:ln>
  </c:spPr>
  <c:txPr>
    <a:bodyPr/>
    <a:lstStyle/>
    <a:p>
      <a:pPr>
        <a:defRPr sz="974"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128464003321184E-2"/>
          <c:y val="8.9602883778539949E-2"/>
          <c:w val="0.91276252019386106"/>
          <c:h val="0.78988326848249024"/>
        </c:manualLayout>
      </c:layout>
      <c:lineChart>
        <c:grouping val="standard"/>
        <c:varyColors val="0"/>
        <c:ser>
          <c:idx val="0"/>
          <c:order val="0"/>
          <c:tx>
            <c:strRef>
              <c:f>Sheet1!$A$2</c:f>
              <c:strCache>
                <c:ptCount val="1"/>
                <c:pt idx="0">
                  <c:v>Teikiamų socialinių paslaugų atitikimas LR Socialinės apsaugos ir darbo ministerijos patvirtintiems Socialinių paslaugų išvystymo normatyvams, proc.</c:v>
                </c:pt>
              </c:strCache>
            </c:strRef>
          </c:tx>
          <c:spPr>
            <a:ln w="25413">
              <a:solidFill>
                <a:srgbClr val="000080"/>
              </a:solidFill>
              <a:prstDash val="solid"/>
            </a:ln>
          </c:spPr>
          <c:marker>
            <c:symbol val="diamond"/>
            <c:size val="7"/>
            <c:spPr>
              <a:solidFill>
                <a:srgbClr val="000080"/>
              </a:solidFill>
              <a:ln>
                <a:solidFill>
                  <a:srgbClr val="000080"/>
                </a:solidFill>
                <a:prstDash val="solid"/>
              </a:ln>
            </c:spPr>
          </c:marker>
          <c:dPt>
            <c:idx val="7"/>
            <c:bubble3D val="0"/>
            <c:spPr>
              <a:ln w="25413">
                <a:solidFill>
                  <a:srgbClr val="000080"/>
                </a:solidFill>
                <a:prstDash val="sysDash"/>
              </a:ln>
            </c:spPr>
          </c:dPt>
          <c:dPt>
            <c:idx val="8"/>
            <c:bubble3D val="0"/>
            <c:spPr>
              <a:ln w="25413">
                <a:solidFill>
                  <a:srgbClr val="000080"/>
                </a:solidFill>
                <a:prstDash val="sysDash"/>
              </a:ln>
            </c:spPr>
          </c:dPt>
          <c:dLbls>
            <c:dLbl>
              <c:idx val="0"/>
              <c:layout>
                <c:manualLayout>
                  <c:x val="-2.7303278174762989E-2"/>
                  <c:y val="-5.9945044024699315E-2"/>
                </c:manualLayout>
              </c:layout>
              <c:dLblPos val="r"/>
              <c:showLegendKey val="0"/>
              <c:showVal val="1"/>
              <c:showCatName val="0"/>
              <c:showSerName val="0"/>
              <c:showPercent val="0"/>
              <c:showBubbleSize val="0"/>
            </c:dLbl>
            <c:dLbl>
              <c:idx val="1"/>
              <c:layout>
                <c:manualLayout>
                  <c:x val="-3.663742375908248E-2"/>
                  <c:y val="-6.0969756049156117E-2"/>
                </c:manualLayout>
              </c:layout>
              <c:dLblPos val="r"/>
              <c:showLegendKey val="0"/>
              <c:showVal val="1"/>
              <c:showCatName val="0"/>
              <c:showSerName val="0"/>
              <c:showPercent val="0"/>
              <c:showBubbleSize val="0"/>
            </c:dLbl>
            <c:dLbl>
              <c:idx val="2"/>
              <c:layout>
                <c:manualLayout>
                  <c:x val="-3.9509367225352483E-2"/>
                  <c:y val="-5.9760321359967422E-2"/>
                </c:manualLayout>
              </c:layout>
              <c:dLblPos val="r"/>
              <c:showLegendKey val="0"/>
              <c:showVal val="1"/>
              <c:showCatName val="0"/>
              <c:showSerName val="0"/>
              <c:showPercent val="0"/>
              <c:showBubbleSize val="0"/>
            </c:dLbl>
            <c:dLbl>
              <c:idx val="3"/>
              <c:layout>
                <c:manualLayout>
                  <c:x val="-3.9150459497878702E-2"/>
                  <c:y val="-5.4568796791161826E-2"/>
                </c:manualLayout>
              </c:layout>
              <c:dLblPos val="r"/>
              <c:showLegendKey val="0"/>
              <c:showVal val="1"/>
              <c:showCatName val="0"/>
              <c:showSerName val="0"/>
              <c:showPercent val="0"/>
              <c:showBubbleSize val="0"/>
            </c:dLbl>
            <c:dLbl>
              <c:idx val="4"/>
              <c:layout>
                <c:manualLayout>
                  <c:x val="-3.0713840767056563E-2"/>
                  <c:y val="-7.1040952932038631E-2"/>
                </c:manualLayout>
              </c:layout>
              <c:dLblPos val="r"/>
              <c:showLegendKey val="0"/>
              <c:showVal val="1"/>
              <c:showCatName val="0"/>
              <c:showSerName val="0"/>
              <c:showPercent val="0"/>
              <c:showBubbleSize val="0"/>
            </c:dLbl>
            <c:dLbl>
              <c:idx val="5"/>
              <c:layout>
                <c:manualLayout>
                  <c:x val="-1.2584168724441323E-2"/>
                  <c:y val="-8.8712958424687779E-2"/>
                </c:manualLayout>
              </c:layout>
              <c:dLblPos val="r"/>
              <c:showLegendKey val="0"/>
              <c:showVal val="1"/>
              <c:showCatName val="0"/>
              <c:showSerName val="0"/>
              <c:showPercent val="0"/>
              <c:showBubbleSize val="0"/>
            </c:dLbl>
            <c:dLbl>
              <c:idx val="6"/>
              <c:layout>
                <c:manualLayout>
                  <c:x val="-2.676484096465739E-2"/>
                  <c:y val="-5.8784403107199366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3.60988199721229E-2"/>
                  <c:y val="-6.7765960609101769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2.9617364637566247E-2"/>
                  <c:y val="-4.4921864253436347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5413">
                <a:noFill/>
              </a:ln>
            </c:spPr>
            <c:txPr>
              <a:bodyPr/>
              <a:lstStyle/>
              <a:p>
                <a:pPr>
                  <a:defRPr sz="1026"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Sheet1!$B$2:$J$2</c:f>
              <c:numCache>
                <c:formatCode>General</c:formatCode>
                <c:ptCount val="9"/>
                <c:pt idx="0">
                  <c:v>57.4</c:v>
                </c:pt>
                <c:pt idx="1">
                  <c:v>60.2</c:v>
                </c:pt>
                <c:pt idx="2">
                  <c:v>79.3</c:v>
                </c:pt>
                <c:pt idx="3">
                  <c:v>86</c:v>
                </c:pt>
                <c:pt idx="4">
                  <c:v>90</c:v>
                </c:pt>
                <c:pt idx="5">
                  <c:v>95</c:v>
                </c:pt>
                <c:pt idx="6">
                  <c:v>96</c:v>
                </c:pt>
                <c:pt idx="7">
                  <c:v>97</c:v>
                </c:pt>
                <c:pt idx="8">
                  <c:v>98</c:v>
                </c:pt>
              </c:numCache>
            </c:numRef>
          </c:val>
          <c:smooth val="0"/>
        </c:ser>
        <c:dLbls>
          <c:showLegendKey val="0"/>
          <c:showVal val="1"/>
          <c:showCatName val="0"/>
          <c:showSerName val="0"/>
          <c:showPercent val="0"/>
          <c:showBubbleSize val="0"/>
        </c:dLbls>
        <c:marker val="1"/>
        <c:smooth val="0"/>
        <c:axId val="87572480"/>
        <c:axId val="87574016"/>
      </c:lineChart>
      <c:catAx>
        <c:axId val="87572480"/>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1026" b="0" i="0" u="none" strike="noStrike" baseline="0">
                <a:solidFill>
                  <a:srgbClr val="000000"/>
                </a:solidFill>
                <a:latin typeface="Times New Roman"/>
                <a:ea typeface="Times New Roman"/>
                <a:cs typeface="Times New Roman"/>
              </a:defRPr>
            </a:pPr>
            <a:endParaRPr lang="lt-LT"/>
          </a:p>
        </c:txPr>
        <c:crossAx val="87574016"/>
        <c:crosses val="autoZero"/>
        <c:auto val="1"/>
        <c:lblAlgn val="ctr"/>
        <c:lblOffset val="100"/>
        <c:tickLblSkip val="1"/>
        <c:tickMarkSkip val="1"/>
        <c:noMultiLvlLbl val="0"/>
      </c:catAx>
      <c:valAx>
        <c:axId val="87574016"/>
        <c:scaling>
          <c:orientation val="minMax"/>
        </c:scaling>
        <c:delete val="0"/>
        <c:axPos val="l"/>
        <c:majorGridlines>
          <c:spPr>
            <a:ln w="12707">
              <a:solidFill>
                <a:srgbClr val="000000"/>
              </a:solidFill>
              <a:prstDash val="sysDash"/>
            </a:ln>
          </c:spPr>
        </c:majorGridlines>
        <c:numFmt formatCode="General" sourceLinked="1"/>
        <c:majorTickMark val="out"/>
        <c:minorTickMark val="none"/>
        <c:tickLblPos val="nextTo"/>
        <c:spPr>
          <a:ln w="3177">
            <a:solidFill>
              <a:srgbClr val="000000"/>
            </a:solidFill>
            <a:prstDash val="solid"/>
          </a:ln>
        </c:spPr>
        <c:txPr>
          <a:bodyPr rot="0" vert="horz"/>
          <a:lstStyle/>
          <a:p>
            <a:pPr>
              <a:defRPr sz="1026" b="0" i="0" u="none" strike="noStrike" baseline="0">
                <a:solidFill>
                  <a:srgbClr val="000000"/>
                </a:solidFill>
                <a:latin typeface="Times New Roman"/>
                <a:ea typeface="Times New Roman"/>
                <a:cs typeface="Times New Roman"/>
              </a:defRPr>
            </a:pPr>
            <a:endParaRPr lang="lt-LT"/>
          </a:p>
        </c:txPr>
        <c:crossAx val="87572480"/>
        <c:crosses val="autoZero"/>
        <c:crossBetween val="between"/>
      </c:valAx>
      <c:spPr>
        <a:noFill/>
        <a:ln w="12707">
          <a:solidFill>
            <a:srgbClr val="808080"/>
          </a:solidFill>
          <a:prstDash val="solid"/>
        </a:ln>
      </c:spPr>
    </c:plotArea>
    <c:plotVisOnly val="1"/>
    <c:dispBlanksAs val="gap"/>
    <c:showDLblsOverMax val="0"/>
  </c:chart>
  <c:spPr>
    <a:noFill/>
    <a:ln>
      <a:noFill/>
    </a:ln>
  </c:spPr>
  <c:txPr>
    <a:bodyPr/>
    <a:lstStyle/>
    <a:p>
      <a:pPr>
        <a:defRPr sz="100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18008</Words>
  <Characters>10265</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2014-12-23T06:44:00Z</dcterms:created>
  <dcterms:modified xsi:type="dcterms:W3CDTF">2014-12-23T06:44:00Z</dcterms:modified>
</cp:coreProperties>
</file>