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39" w:rsidRDefault="00750E39" w:rsidP="00750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paveldo vertinimo tarybos 2014-02-14 posėdžio nutarimai</w:t>
      </w:r>
    </w:p>
    <w:p w:rsidR="00750E39" w:rsidRDefault="00750E39" w:rsidP="0075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vasario 14 d.  Klaipėdos miesto nekilnojamojo kultūros paveldo vertinimo tarybos posėdyje nutarta (protokolo Nr. ADM 117):</w:t>
      </w:r>
    </w:p>
    <w:p w:rsidR="00750E39" w:rsidRDefault="00750E39" w:rsidP="00750E3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E39">
        <w:rPr>
          <w:rFonts w:ascii="Times New Roman" w:hAnsi="Times New Roman" w:cs="Times New Roman"/>
          <w:sz w:val="24"/>
          <w:szCs w:val="24"/>
        </w:rPr>
        <w:t>Koreguoti (išskaidyti) Klaipėdos malūno ir kitų pastatų komplekso (33710) dalis, formuojant du struktūrinius vienetus - „Joniškės dvaro sodybos ūkinis pastatas“ (Mokyklos g. 18A) ir „Malūno pastatų kompleksas“ (G</w:t>
      </w:r>
      <w:r>
        <w:rPr>
          <w:rFonts w:ascii="Times New Roman" w:hAnsi="Times New Roman" w:cs="Times New Roman"/>
          <w:sz w:val="24"/>
          <w:szCs w:val="24"/>
        </w:rPr>
        <w:t xml:space="preserve">luosnių skg. 2, Joniškės g. 3A); </w:t>
      </w:r>
      <w:r w:rsidRPr="00750E39">
        <w:rPr>
          <w:rFonts w:ascii="Times New Roman" w:hAnsi="Times New Roman" w:cs="Times New Roman"/>
          <w:sz w:val="24"/>
          <w:szCs w:val="24"/>
        </w:rPr>
        <w:t xml:space="preserve">Joniškės dvaro sodybos ūkinį pastatą registruoti kaip atskirą objektą, paliekant anksčiau priskirtą unikalų kodą 33712. Patikslinti registre registruoto vertybės </w:t>
      </w:r>
      <w:r w:rsidRPr="00750E39">
        <w:rPr>
          <w:rFonts w:ascii="Times New Roman" w:hAnsi="Times New Roman" w:cs="Times New Roman"/>
          <w:bCs/>
          <w:sz w:val="24"/>
          <w:szCs w:val="24"/>
        </w:rPr>
        <w:t xml:space="preserve">Joniškės dvaro sodybos ūkinio pastato (33712) </w:t>
      </w:r>
      <w:r w:rsidRPr="00750E39">
        <w:rPr>
          <w:rFonts w:ascii="Times New Roman" w:hAnsi="Times New Roman" w:cs="Times New Roman"/>
          <w:sz w:val="24"/>
          <w:szCs w:val="24"/>
        </w:rPr>
        <w:t>duomenis, papildant vertingąsias savybes objekto terit</w:t>
      </w:r>
      <w:r>
        <w:rPr>
          <w:rFonts w:ascii="Times New Roman" w:hAnsi="Times New Roman" w:cs="Times New Roman"/>
          <w:sz w:val="24"/>
          <w:szCs w:val="24"/>
        </w:rPr>
        <w:t xml:space="preserve">orijos vertingosiomis savybėmis; </w:t>
      </w:r>
      <w:r w:rsidRPr="00750E39">
        <w:rPr>
          <w:rFonts w:ascii="Times New Roman" w:hAnsi="Times New Roman" w:cs="Times New Roman"/>
          <w:sz w:val="24"/>
          <w:szCs w:val="24"/>
        </w:rPr>
        <w:t xml:space="preserve">Malūno pastatų kompleksui priskirti ankstesnio komplekso (Klaipėdos malūno ir kitų pastatų komplekso) unikalų numerį 33710, patikslinti objekto vertingąsias savybes. Malūno pastatų komplekso pirmam pastatui (ankstesnis pavadinimas </w:t>
      </w:r>
      <w:proofErr w:type="spellStart"/>
      <w:r w:rsidRPr="00750E39">
        <w:rPr>
          <w:rFonts w:ascii="Times New Roman" w:hAnsi="Times New Roman" w:cs="Times New Roman"/>
          <w:sz w:val="24"/>
          <w:szCs w:val="24"/>
        </w:rPr>
        <w:t>Sendvario</w:t>
      </w:r>
      <w:proofErr w:type="spellEnd"/>
      <w:r w:rsidRPr="00750E39">
        <w:rPr>
          <w:rFonts w:ascii="Times New Roman" w:hAnsi="Times New Roman" w:cs="Times New Roman"/>
          <w:sz w:val="24"/>
          <w:szCs w:val="24"/>
        </w:rPr>
        <w:t>, Pilies vandens malūno pastatas) palikti jam jau suteiktą unikalų kodą 33711, patikslinant kompleksinio objekto vertingąsias savybes. Naujai išaiškintam malūno pastatų komplekso antram pastatui siūloma suteikti teisinę apsaugą,  įrašyti į registrą kaip  kompleksinį objektą - malūno pastatų komplekso antrą pastatą, nustatant vietinį reikšmingumo lygmenį.</w:t>
      </w:r>
    </w:p>
    <w:p w:rsidR="00750E39" w:rsidRPr="00750E39" w:rsidRDefault="00750E39" w:rsidP="00750E3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E39">
        <w:rPr>
          <w:rFonts w:ascii="Times New Roman" w:hAnsi="Times New Roman" w:cs="Times New Roman"/>
          <w:sz w:val="24"/>
          <w:szCs w:val="24"/>
        </w:rPr>
        <w:t xml:space="preserve">Patikslinti </w:t>
      </w:r>
      <w:r w:rsidRPr="00750E39">
        <w:rPr>
          <w:rFonts w:ascii="Times New Roman" w:hAnsi="Times New Roman" w:cs="Times New Roman"/>
          <w:bCs/>
          <w:sz w:val="24"/>
          <w:szCs w:val="24"/>
        </w:rPr>
        <w:t>Registre registruotos vertybės – Turgaus g. 19 (31062) duomenis,</w:t>
      </w:r>
      <w:r w:rsidRPr="00750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E39">
        <w:rPr>
          <w:rFonts w:ascii="Times New Roman" w:hAnsi="Times New Roman" w:cs="Times New Roman"/>
          <w:bCs/>
          <w:sz w:val="24"/>
          <w:szCs w:val="24"/>
        </w:rPr>
        <w:t>keičiant pastato stogo dangos tipą (lygios skardos tipas).</w:t>
      </w:r>
    </w:p>
    <w:p w:rsidR="00750E39" w:rsidRPr="00750E39" w:rsidRDefault="00750E39" w:rsidP="00750E3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E39">
        <w:rPr>
          <w:rFonts w:ascii="Times New Roman" w:hAnsi="Times New Roman" w:cs="Times New Roman"/>
          <w:sz w:val="24"/>
          <w:szCs w:val="24"/>
        </w:rPr>
        <w:t xml:space="preserve">Žvalgomųjų archeologinių tyrinėjimų Atgimimo aikštėje galimybės. </w:t>
      </w:r>
      <w:r>
        <w:rPr>
          <w:rFonts w:ascii="Times New Roman" w:hAnsi="Times New Roman" w:cs="Times New Roman"/>
          <w:sz w:val="24"/>
          <w:szCs w:val="24"/>
        </w:rPr>
        <w:t xml:space="preserve"> Kreiptis į ekspertų  </w:t>
      </w:r>
      <w:r w:rsidRPr="00750E39">
        <w:rPr>
          <w:rFonts w:ascii="Times New Roman" w:hAnsi="Times New Roman" w:cs="Times New Roman"/>
          <w:sz w:val="24"/>
          <w:szCs w:val="24"/>
        </w:rPr>
        <w:t>tarybos narius archeologus su prašymu numatyti preliminarią darbų programą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E39" w:rsidRDefault="00750E39" w:rsidP="00750E39">
      <w:pPr>
        <w:pStyle w:val="Sraopastraip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0E39" w:rsidRDefault="00750E39" w:rsidP="00750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paveldo vertinimo tarybos 2014-04-25 posėdžio nutarimai</w:t>
      </w:r>
    </w:p>
    <w:p w:rsidR="00750E39" w:rsidRDefault="00750E39" w:rsidP="0075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balandžio 25 d.  Klaipėdos miesto nekilnojamojo kultūros paveldo vertinimo tarybos posėdyje nutarta (protokolo Nr. ADM-277):</w:t>
      </w:r>
    </w:p>
    <w:p w:rsidR="00750E39" w:rsidRPr="00930780" w:rsidRDefault="00930780" w:rsidP="00930780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30780">
        <w:rPr>
          <w:rFonts w:ascii="Times New Roman" w:hAnsi="Times New Roman" w:cs="Times New Roman"/>
          <w:sz w:val="24"/>
          <w:szCs w:val="24"/>
        </w:rPr>
        <w:t>esuteikti pastatui J.Janonio g. 3, Klaipėda teisinės apsaugos, tačiau remtis pateiktomis rekomendacijomis išsaugant vertingus pastato elementus:</w:t>
      </w:r>
      <w:r w:rsidRPr="0093078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30780">
        <w:rPr>
          <w:rFonts w:ascii="Times New Roman" w:hAnsi="Times New Roman" w:cs="Times New Roman"/>
          <w:iCs/>
          <w:sz w:val="24"/>
          <w:szCs w:val="24"/>
        </w:rPr>
        <w:t xml:space="preserve">išsaugoti J.Janonio gatvės fasado stilistiką ir medžiagiškumą, tašytų akmenų blokų cokolio apdaila J.Janonio gatvės ir galiniuose fasaduose, granitinius laiptus. Saugotinos ir restauruotinos J.Janonio gatvės fasado puošnios medinės įėjimo durys su </w:t>
      </w:r>
      <w:proofErr w:type="spellStart"/>
      <w:r w:rsidRPr="00930780">
        <w:rPr>
          <w:rFonts w:ascii="Times New Roman" w:hAnsi="Times New Roman" w:cs="Times New Roman"/>
          <w:iCs/>
          <w:sz w:val="24"/>
          <w:szCs w:val="24"/>
        </w:rPr>
        <w:t>švieslangiu</w:t>
      </w:r>
      <w:proofErr w:type="spellEnd"/>
      <w:r w:rsidRPr="00930780">
        <w:rPr>
          <w:rFonts w:ascii="Times New Roman" w:hAnsi="Times New Roman" w:cs="Times New Roman"/>
          <w:iCs/>
          <w:sz w:val="24"/>
          <w:szCs w:val="24"/>
        </w:rPr>
        <w:t xml:space="preserve"> ir metalinėmis grotelėmis. Keičiant J.Janonio gatvės fasado langus, tikslinga keisti į medinius, sudalinimą ir varstymo būdą projektuojant pagal analogus.</w:t>
      </w:r>
    </w:p>
    <w:p w:rsidR="00930780" w:rsidRDefault="00930780" w:rsidP="00930780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780">
        <w:rPr>
          <w:rFonts w:ascii="Times New Roman" w:hAnsi="Times New Roman" w:cs="Times New Roman"/>
          <w:sz w:val="24"/>
          <w:szCs w:val="24"/>
        </w:rPr>
        <w:t>Pastatui Pievų Tako g. 4, Klaipėdoje suteikti teisinę apsaugą, įregistruoti nekilnojamųjų kultūros vertybių registre, nustatyti vietinį reikšmingumo lygmenį.</w:t>
      </w:r>
    </w:p>
    <w:p w:rsidR="00930780" w:rsidRDefault="00930780" w:rsidP="00930780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780">
        <w:rPr>
          <w:rFonts w:ascii="Times New Roman" w:hAnsi="Times New Roman" w:cs="Times New Roman"/>
          <w:sz w:val="24"/>
          <w:szCs w:val="24"/>
        </w:rPr>
        <w:t>Rimkų geležinkelio stoties pastatų kompleksui, Rimkų g. 2,4,6, Klaipėdoje suteikti teisinę apsaugą, įregistruoti nekilnojamųjų kultūros vertybių registre, nustatyti vietinį reikšmingumo lygmenį.</w:t>
      </w:r>
    </w:p>
    <w:p w:rsidR="00930780" w:rsidRPr="00930780" w:rsidRDefault="00930780" w:rsidP="00930780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780">
        <w:rPr>
          <w:rFonts w:ascii="Times New Roman" w:hAnsi="Times New Roman" w:cs="Times New Roman"/>
          <w:sz w:val="24"/>
          <w:szCs w:val="24"/>
        </w:rPr>
        <w:t>Nesuteikti pastatui N.Uosto g. 23, Klaipėdoje teisinės apsaugos.</w:t>
      </w:r>
    </w:p>
    <w:p w:rsidR="00750E39" w:rsidRDefault="00750E39" w:rsidP="00750E39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930780" w:rsidRDefault="00930780" w:rsidP="0093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Klaipėdos miesto nekilnojamojo kultūros paveldo vertinimo tarybos 2014-06-27 posėdžio nutarimai</w:t>
      </w:r>
    </w:p>
    <w:p w:rsidR="00930780" w:rsidRDefault="00930780" w:rsidP="00930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Pr="00930780">
        <w:rPr>
          <w:rFonts w:ascii="Times New Roman" w:hAnsi="Times New Roman" w:cs="Times New Roman"/>
          <w:szCs w:val="24"/>
        </w:rPr>
        <w:t>birželio</w:t>
      </w:r>
      <w:r>
        <w:rPr>
          <w:rFonts w:ascii="Times New Roman" w:hAnsi="Times New Roman" w:cs="Times New Roman"/>
          <w:sz w:val="24"/>
          <w:szCs w:val="24"/>
        </w:rPr>
        <w:t xml:space="preserve"> 27 d.  Klaipėdos miesto nekilnojamojo kultūros paveldo vertinimo tarybos posėdyje nutarta (protokolo Nr. ADM-373):</w:t>
      </w:r>
    </w:p>
    <w:p w:rsidR="00073380" w:rsidRDefault="00073380" w:rsidP="00073380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380">
        <w:rPr>
          <w:rFonts w:ascii="Times New Roman" w:hAnsi="Times New Roman" w:cs="Times New Roman"/>
          <w:sz w:val="24"/>
          <w:szCs w:val="24"/>
        </w:rPr>
        <w:t xml:space="preserve">Visos baterijos yra savotiškai įdomios, tai yra karinis paveldas, kurio išsaugojimui ir pritaikymui teikiamos rekomendacijos. </w:t>
      </w:r>
    </w:p>
    <w:p w:rsidR="00073380" w:rsidRPr="00073380" w:rsidRDefault="00073380" w:rsidP="0007338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073380">
        <w:rPr>
          <w:rFonts w:ascii="Times New Roman" w:hAnsi="Times New Roman" w:cs="Times New Roman"/>
          <w:sz w:val="24"/>
          <w:szCs w:val="24"/>
        </w:rPr>
        <w:t>Dvi geriausiai išlikusios ir struktūriškai skirtingos baterijos yra įtrauktos į Nekilnojamųjų kultūros vertybių registrą:</w:t>
      </w:r>
    </w:p>
    <w:p w:rsidR="00073380" w:rsidRPr="00073380" w:rsidRDefault="00073380" w:rsidP="00073380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380">
        <w:rPr>
          <w:rFonts w:ascii="Times New Roman" w:hAnsi="Times New Roman" w:cs="Times New Roman"/>
          <w:sz w:val="24"/>
          <w:szCs w:val="24"/>
        </w:rPr>
        <w:t>Kukuliškių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Karklės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>) baterija yra regioninio lygmens valstybės saugomas nekilnojamasis kultūros paveldo objektas objekto kodas 30621.</w:t>
      </w:r>
    </w:p>
    <w:p w:rsidR="00073380" w:rsidRPr="00073380" w:rsidRDefault="00073380" w:rsidP="00073380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Style w:val="rowvalue"/>
          <w:rFonts w:ascii="Times New Roman" w:hAnsi="Times New Roman" w:cs="Times New Roman"/>
          <w:sz w:val="24"/>
          <w:szCs w:val="24"/>
        </w:rPr>
      </w:pPr>
      <w:r w:rsidRPr="00073380">
        <w:rPr>
          <w:rFonts w:ascii="Times New Roman" w:hAnsi="Times New Roman" w:cs="Times New Roman"/>
          <w:sz w:val="24"/>
          <w:szCs w:val="24"/>
        </w:rPr>
        <w:t xml:space="preserve">Alksnynės gynybinis kompleksas yra regioninio lygmens valstybės saugomas kompleksinis objektas, unikalus objekto kodas </w:t>
      </w:r>
      <w:r w:rsidRPr="00073380">
        <w:rPr>
          <w:rStyle w:val="rowvalue"/>
          <w:rFonts w:ascii="Times New Roman" w:hAnsi="Times New Roman" w:cs="Times New Roman"/>
          <w:sz w:val="24"/>
          <w:szCs w:val="24"/>
        </w:rPr>
        <w:t xml:space="preserve">30540. </w:t>
      </w:r>
    </w:p>
    <w:p w:rsidR="00930780" w:rsidRDefault="00073380" w:rsidP="00073380">
      <w:pPr>
        <w:ind w:left="360" w:firstLine="3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380">
        <w:rPr>
          <w:rFonts w:ascii="Times New Roman" w:hAnsi="Times New Roman" w:cs="Times New Roman"/>
          <w:sz w:val="24"/>
          <w:szCs w:val="24"/>
        </w:rPr>
        <w:t xml:space="preserve">Pakrantės bateriją 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Memel-Süd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siūloma įrašyti į nekilnojamųjų kultūros vertybių registrą. Nekilnojamųjų kultūros vertybių registre įrašytą kompleksinį objektą „Laukas ir įtvirtinimų liekanos“ (unikalus Nr. 10515), kuris yra</w:t>
      </w:r>
      <w:r w:rsidRPr="00073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380">
        <w:rPr>
          <w:rFonts w:ascii="Times New Roman" w:hAnsi="Times New Roman" w:cs="Times New Roman"/>
          <w:sz w:val="24"/>
          <w:szCs w:val="24"/>
        </w:rPr>
        <w:t>klaidingai nustatytos priešlėktuvinės baterijos Dange (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Tauralaukio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baterijos) vieta,  siūloma išbraukti iš NKV registro, 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Tauralaukio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bateriją vertinant kaip sunaikiną, praradusią d</w:t>
      </w:r>
      <w:r>
        <w:rPr>
          <w:rFonts w:ascii="Times New Roman" w:hAnsi="Times New Roman" w:cs="Times New Roman"/>
          <w:sz w:val="24"/>
          <w:szCs w:val="24"/>
        </w:rPr>
        <w:t xml:space="preserve">idžiąją dalį vertingųjų savybių; </w:t>
      </w:r>
      <w:r w:rsidRPr="00073380">
        <w:rPr>
          <w:rFonts w:ascii="Times New Roman" w:hAnsi="Times New Roman" w:cs="Times New Roman"/>
          <w:sz w:val="24"/>
          <w:szCs w:val="24"/>
        </w:rPr>
        <w:t xml:space="preserve">Priešlėktuvinių baterijų 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Nordmole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</w:t>
      </w:r>
      <w:r w:rsidRPr="00073380">
        <w:rPr>
          <w:rFonts w:ascii="Times New Roman" w:hAnsi="Times New Roman" w:cs="Times New Roman"/>
          <w:i/>
          <w:sz w:val="24"/>
          <w:szCs w:val="24"/>
        </w:rPr>
        <w:t>(Melnragės baterija)</w:t>
      </w:r>
      <w:r w:rsidRPr="00073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Seestrand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</w:t>
      </w:r>
      <w:r w:rsidRPr="00073380">
        <w:rPr>
          <w:rFonts w:ascii="Times New Roman" w:hAnsi="Times New Roman" w:cs="Times New Roman"/>
          <w:i/>
          <w:sz w:val="24"/>
          <w:szCs w:val="24"/>
        </w:rPr>
        <w:t xml:space="preserve">(Smiltynės baterija), 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Löllen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</w:t>
      </w:r>
      <w:r w:rsidRPr="0007338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73380">
        <w:rPr>
          <w:rFonts w:ascii="Times New Roman" w:hAnsi="Times New Roman" w:cs="Times New Roman"/>
          <w:i/>
          <w:sz w:val="24"/>
          <w:szCs w:val="24"/>
        </w:rPr>
        <w:t>Lelių</w:t>
      </w:r>
      <w:proofErr w:type="spellEnd"/>
      <w:r w:rsidRPr="00073380">
        <w:rPr>
          <w:rFonts w:ascii="Times New Roman" w:hAnsi="Times New Roman" w:cs="Times New Roman"/>
          <w:i/>
          <w:sz w:val="24"/>
          <w:szCs w:val="24"/>
        </w:rPr>
        <w:t xml:space="preserve"> baterija) </w:t>
      </w:r>
      <w:r w:rsidRPr="00073380">
        <w:rPr>
          <w:rFonts w:ascii="Times New Roman" w:hAnsi="Times New Roman" w:cs="Times New Roman"/>
          <w:bCs/>
          <w:sz w:val="24"/>
          <w:szCs w:val="24"/>
        </w:rPr>
        <w:t>išlikusių vertingųjų savybių visuma nesudaro pagrindo įtraukti objektus į nekilnojamųjų kultūros vertybių registrą. Šiems objektams teikiamos rekomendacijos apsaugai ir pritaikymui- siūloma prie jų įrengti aikšteles, kuriose stovėtų informaciniai stendai su schemomis ir</w:t>
      </w:r>
      <w:r w:rsidRPr="00073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380">
        <w:rPr>
          <w:rFonts w:ascii="Times New Roman" w:hAnsi="Times New Roman" w:cs="Times New Roman"/>
          <w:sz w:val="24"/>
          <w:szCs w:val="24"/>
        </w:rPr>
        <w:t>priešlėktuvinių baterij</w:t>
      </w:r>
      <w:r>
        <w:rPr>
          <w:rFonts w:ascii="Times New Roman" w:hAnsi="Times New Roman" w:cs="Times New Roman"/>
          <w:sz w:val="24"/>
          <w:szCs w:val="24"/>
        </w:rPr>
        <w:t xml:space="preserve">ų informaciniais aprašais; </w:t>
      </w:r>
      <w:r w:rsidRPr="00073380">
        <w:rPr>
          <w:rFonts w:ascii="Times New Roman" w:hAnsi="Times New Roman" w:cs="Times New Roman"/>
          <w:sz w:val="24"/>
          <w:szCs w:val="24"/>
        </w:rPr>
        <w:t xml:space="preserve">Priešlėktuvinę bateriją 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Götzhofen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</w:t>
      </w:r>
      <w:r w:rsidRPr="00073380">
        <w:rPr>
          <w:rFonts w:ascii="Times New Roman" w:hAnsi="Times New Roman" w:cs="Times New Roman"/>
          <w:i/>
          <w:sz w:val="24"/>
          <w:szCs w:val="24"/>
        </w:rPr>
        <w:t>(Gedminų baterija)</w:t>
      </w:r>
      <w:r w:rsidRPr="00073380">
        <w:rPr>
          <w:rFonts w:ascii="Times New Roman" w:hAnsi="Times New Roman" w:cs="Times New Roman"/>
          <w:bCs/>
          <w:sz w:val="24"/>
          <w:szCs w:val="24"/>
        </w:rPr>
        <w:t xml:space="preserve"> netikslinga siūlyti įtraukti į nekilnojamųjų kultūros vertybių registrą, kadangi lyginant su </w:t>
      </w:r>
      <w:proofErr w:type="spellStart"/>
      <w:r w:rsidRPr="00073380">
        <w:rPr>
          <w:rFonts w:ascii="Times New Roman" w:hAnsi="Times New Roman" w:cs="Times New Roman"/>
          <w:bCs/>
          <w:sz w:val="24"/>
          <w:szCs w:val="24"/>
        </w:rPr>
        <w:t>Kukuliškių</w:t>
      </w:r>
      <w:proofErr w:type="spellEnd"/>
      <w:r w:rsidRPr="00073380">
        <w:rPr>
          <w:rFonts w:ascii="Times New Roman" w:hAnsi="Times New Roman" w:cs="Times New Roman"/>
          <w:bCs/>
          <w:sz w:val="24"/>
          <w:szCs w:val="24"/>
        </w:rPr>
        <w:t xml:space="preserve"> ar Alksnynės baterijomis objekto apimtis yra žymiai mažesnė. Tačiau jei iškiltų objekto sunaikinimo grėsmė, objektą skubos tvarka siūloma įtraukti į nekilnojamųjų kultūros vertybių registrą.</w:t>
      </w:r>
    </w:p>
    <w:p w:rsidR="00073380" w:rsidRDefault="00073380" w:rsidP="00073380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380">
        <w:rPr>
          <w:rFonts w:ascii="Times New Roman" w:hAnsi="Times New Roman" w:cs="Times New Roman"/>
          <w:sz w:val="24"/>
          <w:szCs w:val="24"/>
        </w:rPr>
        <w:t xml:space="preserve">Pakrantės baterijos 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Memel-Sud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(Kopgalio baterijos) vietai suteikti teisinę apsaugą, įregistruoti nekilnojamųjų kultūros vertybių registre. Nustatyti vertingųjų savybių pobūdį- inžinerinį, istorinį ir kraštovaizdžio, suteikiant vietinį reikšmingumo lygmenį.</w:t>
      </w:r>
    </w:p>
    <w:p w:rsidR="00073380" w:rsidRDefault="00073380" w:rsidP="00073380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380">
        <w:rPr>
          <w:rFonts w:ascii="Times New Roman" w:hAnsi="Times New Roman" w:cs="Times New Roman"/>
          <w:sz w:val="24"/>
          <w:szCs w:val="24"/>
        </w:rPr>
        <w:t xml:space="preserve">Pastatui Danės g. 19, Klaipėdoje siūloma nesuteikti teisinės apsaugos, tačiau būtina parengti  pastato vertinimo 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požiūriu medžiagą, kurioje turi būti išryškintos vertingiausios pastato dalys ar elementai ir pateiktos rekomendacijos objekto rekonstrukcijai. Šias rekomendacijas būtina įrašyti į architektūrinius reikalavimus. </w:t>
      </w:r>
    </w:p>
    <w:p w:rsidR="00073380" w:rsidRPr="00073380" w:rsidRDefault="00073380" w:rsidP="00073380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73380">
        <w:rPr>
          <w:rFonts w:ascii="Times New Roman" w:hAnsi="Times New Roman" w:cs="Times New Roman"/>
          <w:sz w:val="24"/>
          <w:szCs w:val="24"/>
        </w:rPr>
        <w:t xml:space="preserve">esuteikti pastatui </w:t>
      </w:r>
      <w:proofErr w:type="spellStart"/>
      <w:r w:rsidRPr="00073380">
        <w:rPr>
          <w:rFonts w:ascii="Times New Roman" w:hAnsi="Times New Roman" w:cs="Times New Roman"/>
          <w:sz w:val="24"/>
          <w:szCs w:val="24"/>
        </w:rPr>
        <w:t>Priestočio</w:t>
      </w:r>
      <w:proofErr w:type="spellEnd"/>
      <w:r w:rsidRPr="00073380">
        <w:rPr>
          <w:rFonts w:ascii="Times New Roman" w:hAnsi="Times New Roman" w:cs="Times New Roman"/>
          <w:sz w:val="24"/>
          <w:szCs w:val="24"/>
        </w:rPr>
        <w:t xml:space="preserve"> g. 16, Klaipėdoje, teisinės apsaugos. Vykdant objekte statybos darbus, rekomenduojama saugoti planinę struktūrą (kapitalines išorines sienas, laiptines), fasadų architektūrinę išraišką, nedidinti pastato aukščio. </w:t>
      </w:r>
    </w:p>
    <w:p w:rsidR="00073380" w:rsidRPr="00073380" w:rsidRDefault="00073380" w:rsidP="0007338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073380" w:rsidRDefault="00073380" w:rsidP="00073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paveldo vertinimo tarybos 2014-08-22 posėdžio nutarimai</w:t>
      </w:r>
    </w:p>
    <w:p w:rsidR="00073F19" w:rsidRDefault="00073380" w:rsidP="00073F19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903091">
        <w:rPr>
          <w:rFonts w:ascii="Times New Roman" w:hAnsi="Times New Roman" w:cs="Times New Roman"/>
          <w:szCs w:val="24"/>
        </w:rPr>
        <w:t>rugpjūčio 22</w:t>
      </w:r>
      <w:r>
        <w:rPr>
          <w:rFonts w:ascii="Times New Roman" w:hAnsi="Times New Roman" w:cs="Times New Roman"/>
          <w:sz w:val="24"/>
          <w:szCs w:val="24"/>
        </w:rPr>
        <w:t xml:space="preserve"> d.  Klaipėdos miesto nekilnojamojo kultūros paveldo vertinimo tarybos posėdyje nutarta (protokolo Nr. ADM-</w:t>
      </w:r>
      <w:r w:rsidRPr="00CD0AD4">
        <w:rPr>
          <w:rFonts w:ascii="Times New Roman" w:hAnsi="Times New Roman" w:cs="Times New Roman"/>
          <w:sz w:val="24"/>
          <w:szCs w:val="24"/>
        </w:rPr>
        <w:t>373</w:t>
      </w:r>
      <w:r w:rsidR="00073F19">
        <w:rPr>
          <w:rFonts w:ascii="Times New Roman" w:hAnsi="Times New Roman" w:cs="Times New Roman"/>
          <w:sz w:val="24"/>
          <w:szCs w:val="24"/>
        </w:rPr>
        <w:t>):</w:t>
      </w:r>
    </w:p>
    <w:p w:rsidR="00073F19" w:rsidRDefault="00073F19" w:rsidP="00073F19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073F19" w:rsidRDefault="00073F19" w:rsidP="00073F19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Nekeisti 2013-11-12, Nr. ADM 573 protokolo nutarties dėl pastato Bangų g. 11, Klaipėdoje ir nesuteikti pastatui teisinės apsaugos.</w:t>
      </w:r>
    </w:p>
    <w:p w:rsidR="006912F7" w:rsidRDefault="006912F7" w:rsidP="00691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2F7" w:rsidRDefault="006912F7" w:rsidP="00691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2F7" w:rsidRDefault="006912F7" w:rsidP="006912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paveldo vertinimo tarybos 2014-10-17 posėdžio nutarimai</w:t>
      </w:r>
    </w:p>
    <w:p w:rsidR="006912F7" w:rsidRPr="008B5461" w:rsidRDefault="00CD0AD4" w:rsidP="006912F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spalio 17 d. </w:t>
      </w:r>
      <w:r w:rsidR="006912F7" w:rsidRPr="008B5461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 nutarta (protokolo Nr. ADM-583):</w:t>
      </w:r>
    </w:p>
    <w:p w:rsidR="006912F7" w:rsidRPr="008B5461" w:rsidRDefault="006912F7" w:rsidP="006912F7">
      <w:pPr>
        <w:pStyle w:val="Sraopastraip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461">
        <w:rPr>
          <w:rFonts w:ascii="Times New Roman" w:hAnsi="Times New Roman" w:cs="Times New Roman"/>
          <w:sz w:val="24"/>
          <w:szCs w:val="24"/>
        </w:rPr>
        <w:t xml:space="preserve">Urbanistine ir architektūrine prasme pats pastatas yra išskirtinis, formuojantis centrinės miesto aikštės rytinę kraštinę, tačiau vis tik tai istorinei miesto daliai svetimas, neturintis nieko bendro su Klaipėdos krašto istorija pastatas. </w:t>
      </w:r>
      <w:r w:rsidRPr="008B5461">
        <w:rPr>
          <w:rFonts w:ascii="Times New Roman" w:hAnsi="Times New Roman" w:cs="Times New Roman"/>
          <w:bCs/>
          <w:sz w:val="24"/>
          <w:szCs w:val="24"/>
        </w:rPr>
        <w:t xml:space="preserve">Todėl </w:t>
      </w:r>
      <w:r w:rsidRPr="008B5461">
        <w:rPr>
          <w:rFonts w:ascii="Times New Roman" w:hAnsi="Times New Roman" w:cs="Times New Roman"/>
          <w:sz w:val="24"/>
          <w:szCs w:val="24"/>
        </w:rPr>
        <w:t>pastatą netikslinga siūlyti įregistruoti Kultūros vertybių registre.</w:t>
      </w:r>
    </w:p>
    <w:p w:rsidR="006912F7" w:rsidRPr="008B5461" w:rsidRDefault="006912F7" w:rsidP="006912F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8B5461">
        <w:rPr>
          <w:rFonts w:ascii="Times New Roman" w:hAnsi="Times New Roman" w:cs="Times New Roman"/>
          <w:sz w:val="24"/>
          <w:szCs w:val="24"/>
        </w:rPr>
        <w:t>Pritarti siūlomoms rekomendacijoms pastato tvarkymui:</w:t>
      </w:r>
    </w:p>
    <w:p w:rsidR="006912F7" w:rsidRPr="008B5461" w:rsidRDefault="006912F7" w:rsidP="006912F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5461">
        <w:rPr>
          <w:rFonts w:ascii="Times New Roman" w:hAnsi="Times New Roman" w:cs="Times New Roman"/>
          <w:iCs/>
          <w:sz w:val="24"/>
          <w:szCs w:val="24"/>
        </w:rPr>
        <w:t xml:space="preserve">Pastato rekonstrukcijai būtina skelbti architektūrinį konkursą. </w:t>
      </w:r>
    </w:p>
    <w:p w:rsidR="006912F7" w:rsidRPr="008B5461" w:rsidRDefault="00CD0AD4" w:rsidP="006912F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Būtina išsaugoti tūrinę-</w:t>
      </w:r>
      <w:r w:rsidR="006912F7" w:rsidRPr="008B5461">
        <w:rPr>
          <w:rFonts w:ascii="Times New Roman" w:hAnsi="Times New Roman" w:cs="Times New Roman"/>
          <w:iCs/>
          <w:sz w:val="24"/>
          <w:szCs w:val="24"/>
        </w:rPr>
        <w:t xml:space="preserve">erdvinę kompoziciją, kai vertikali dalis derinama su horizontaliomis, pastato formų paprastumą, proporcijas. </w:t>
      </w:r>
    </w:p>
    <w:p w:rsidR="006912F7" w:rsidRPr="008B5461" w:rsidRDefault="006912F7" w:rsidP="006912F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5461">
        <w:rPr>
          <w:rFonts w:ascii="Times New Roman" w:hAnsi="Times New Roman" w:cs="Times New Roman"/>
          <w:iCs/>
          <w:sz w:val="24"/>
          <w:szCs w:val="24"/>
        </w:rPr>
        <w:t>Būtina išsaugoti Herkaus Manto gatvės fasado ir Danės gatvės vertikalios dalies fasado stilistiką, architektūrinę išraišką, medžiagiškumą ir spalvinę gamą.</w:t>
      </w:r>
    </w:p>
    <w:p w:rsidR="006912F7" w:rsidRDefault="006912F7" w:rsidP="006912F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5461">
        <w:rPr>
          <w:rFonts w:ascii="Times New Roman" w:hAnsi="Times New Roman" w:cs="Times New Roman"/>
          <w:iCs/>
          <w:sz w:val="24"/>
          <w:szCs w:val="24"/>
        </w:rPr>
        <w:t xml:space="preserve">Tikslinga išsaugoti antro aukšto interjero svarbiausią modernistinį akcentą- kolonų salę. </w:t>
      </w:r>
    </w:p>
    <w:p w:rsidR="006912F7" w:rsidRPr="00111FB7" w:rsidRDefault="006912F7" w:rsidP="006912F7">
      <w:pPr>
        <w:pStyle w:val="Sraopastrai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5461">
        <w:rPr>
          <w:rFonts w:ascii="Times New Roman" w:hAnsi="Times New Roman" w:cs="Times New Roman"/>
          <w:sz w:val="24"/>
          <w:szCs w:val="24"/>
        </w:rPr>
        <w:t>Pastatui S.Daukanto g. 15 Klaipėdoje suteikti teisinę apsaugą, įregistruoti nekilnojamųjų kultūros vertybių registre, nustatyti vietinį reikšmingumo lygmenį.</w:t>
      </w:r>
    </w:p>
    <w:p w:rsidR="00111FB7" w:rsidRDefault="00111FB7" w:rsidP="00111FB7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FB7" w:rsidRPr="00111FB7" w:rsidRDefault="00111FB7" w:rsidP="00111FB7">
      <w:pPr>
        <w:pStyle w:val="Sraopastraip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111FB7" w:rsidRDefault="00111FB7" w:rsidP="00111F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11FB7" w:rsidRDefault="00111FB7" w:rsidP="00111F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paveldo vertinimo tarybos 2014-12-22 posėdžio nutarimas</w:t>
      </w:r>
    </w:p>
    <w:p w:rsidR="00111FB7" w:rsidRDefault="00111FB7" w:rsidP="00111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gruodžio 22 d.  Klaipėdos miesto nekilnojamojo kultūros paveldo vertinimo tarybos posėdyje nutarta (protokolo Nr. ADM-30):</w:t>
      </w:r>
    </w:p>
    <w:p w:rsidR="00111FB7" w:rsidRPr="003C1AE7" w:rsidRDefault="00111FB7" w:rsidP="00111FB7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C1AE7">
        <w:rPr>
          <w:rFonts w:ascii="Times New Roman" w:hAnsi="Times New Roman" w:cs="Times New Roman"/>
          <w:sz w:val="24"/>
          <w:szCs w:val="24"/>
        </w:rPr>
        <w:t xml:space="preserve">iūloma S. </w:t>
      </w:r>
      <w:proofErr w:type="spellStart"/>
      <w:r w:rsidRPr="003C1AE7">
        <w:rPr>
          <w:rFonts w:ascii="Times New Roman" w:hAnsi="Times New Roman" w:cs="Times New Roman"/>
          <w:sz w:val="24"/>
          <w:szCs w:val="24"/>
        </w:rPr>
        <w:t>Stripinienei</w:t>
      </w:r>
      <w:proofErr w:type="spellEnd"/>
      <w:r w:rsidRPr="003C1AE7">
        <w:rPr>
          <w:rFonts w:ascii="Times New Roman" w:hAnsi="Times New Roman" w:cs="Times New Roman"/>
          <w:sz w:val="24"/>
          <w:szCs w:val="24"/>
        </w:rPr>
        <w:t xml:space="preserve"> tęsti savo veiklą Klaipėdos miesto Nekilnojamojo kultūros paveldo vertinimo taryboje. </w:t>
      </w:r>
    </w:p>
    <w:p w:rsidR="00111FB7" w:rsidRPr="00111FB7" w:rsidRDefault="00111FB7" w:rsidP="00111F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912F7" w:rsidRPr="006912F7" w:rsidRDefault="006912F7" w:rsidP="00691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780" w:rsidRDefault="00930780" w:rsidP="00930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780" w:rsidRPr="00930780" w:rsidRDefault="00930780" w:rsidP="00750E39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3E6092" w:rsidRPr="00930780" w:rsidRDefault="003E6092">
      <w:pPr>
        <w:rPr>
          <w:rFonts w:ascii="Times New Roman" w:hAnsi="Times New Roman" w:cs="Times New Roman"/>
          <w:sz w:val="24"/>
          <w:szCs w:val="24"/>
        </w:rPr>
      </w:pPr>
    </w:p>
    <w:sectPr w:rsidR="003E6092" w:rsidRPr="009307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17D"/>
    <w:multiLevelType w:val="hybridMultilevel"/>
    <w:tmpl w:val="79485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675E"/>
    <w:multiLevelType w:val="hybridMultilevel"/>
    <w:tmpl w:val="4C56FE58"/>
    <w:lvl w:ilvl="0" w:tplc="0C00D594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ascii="Times New Roman" w:eastAsia="Times New Roman" w:hAnsi="Times New Roman" w:cs="Times New Roman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DC2773"/>
    <w:multiLevelType w:val="hybridMultilevel"/>
    <w:tmpl w:val="C7EAFB50"/>
    <w:lvl w:ilvl="0" w:tplc="F73C3C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71932"/>
    <w:multiLevelType w:val="hybridMultilevel"/>
    <w:tmpl w:val="978C4E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6A08"/>
    <w:multiLevelType w:val="hybridMultilevel"/>
    <w:tmpl w:val="9B3240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204C"/>
    <w:multiLevelType w:val="hybridMultilevel"/>
    <w:tmpl w:val="BAEEEC1E"/>
    <w:lvl w:ilvl="0" w:tplc="28F0D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811BB4"/>
    <w:multiLevelType w:val="hybridMultilevel"/>
    <w:tmpl w:val="79485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96FFE"/>
    <w:multiLevelType w:val="hybridMultilevel"/>
    <w:tmpl w:val="4B94F1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266ED"/>
    <w:multiLevelType w:val="hybridMultilevel"/>
    <w:tmpl w:val="0A3C15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17A9C"/>
    <w:multiLevelType w:val="hybridMultilevel"/>
    <w:tmpl w:val="79A885E8"/>
    <w:lvl w:ilvl="0" w:tplc="3D626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BD2828"/>
    <w:multiLevelType w:val="hybridMultilevel"/>
    <w:tmpl w:val="9B06BD3E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4D811ADA"/>
    <w:multiLevelType w:val="hybridMultilevel"/>
    <w:tmpl w:val="D86AE4FA"/>
    <w:lvl w:ilvl="0" w:tplc="024EAE5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913267"/>
    <w:multiLevelType w:val="hybridMultilevel"/>
    <w:tmpl w:val="88F0E83A"/>
    <w:lvl w:ilvl="0" w:tplc="0427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76C11029"/>
    <w:multiLevelType w:val="hybridMultilevel"/>
    <w:tmpl w:val="3800E0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1"/>
  </w:num>
  <w:num w:numId="7">
    <w:abstractNumId w:val="12"/>
  </w:num>
  <w:num w:numId="8">
    <w:abstractNumId w:val="13"/>
  </w:num>
  <w:num w:numId="9">
    <w:abstractNumId w:val="2"/>
  </w:num>
  <w:num w:numId="10">
    <w:abstractNumId w:val="5"/>
  </w:num>
  <w:num w:numId="11">
    <w:abstractNumId w:val="9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39"/>
    <w:rsid w:val="00073380"/>
    <w:rsid w:val="00073F19"/>
    <w:rsid w:val="00111FB7"/>
    <w:rsid w:val="001F10D5"/>
    <w:rsid w:val="003E6092"/>
    <w:rsid w:val="006912F7"/>
    <w:rsid w:val="00750E39"/>
    <w:rsid w:val="00903091"/>
    <w:rsid w:val="00930780"/>
    <w:rsid w:val="00C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0E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E3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rsid w:val="00750E39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0E39"/>
    <w:rPr>
      <w:rFonts w:ascii="Tahoma" w:eastAsia="Times New Roman" w:hAnsi="Tahoma" w:cs="Tahoma"/>
      <w:sz w:val="16"/>
      <w:szCs w:val="16"/>
      <w:lang w:eastAsia="lt-LT"/>
    </w:rPr>
  </w:style>
  <w:style w:type="paragraph" w:styleId="Pavadinimas">
    <w:name w:val="Title"/>
    <w:basedOn w:val="prastasis"/>
    <w:link w:val="PavadinimasDiagrama"/>
    <w:qFormat/>
    <w:rsid w:val="00750E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750E39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rowvalue">
    <w:name w:val="rowvalue"/>
    <w:basedOn w:val="Numatytasispastraiposriftas"/>
    <w:rsid w:val="00073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0E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E3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rsid w:val="00750E39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0E39"/>
    <w:rPr>
      <w:rFonts w:ascii="Tahoma" w:eastAsia="Times New Roman" w:hAnsi="Tahoma" w:cs="Tahoma"/>
      <w:sz w:val="16"/>
      <w:szCs w:val="16"/>
      <w:lang w:eastAsia="lt-LT"/>
    </w:rPr>
  </w:style>
  <w:style w:type="paragraph" w:styleId="Pavadinimas">
    <w:name w:val="Title"/>
    <w:basedOn w:val="prastasis"/>
    <w:link w:val="PavadinimasDiagrama"/>
    <w:qFormat/>
    <w:rsid w:val="00750E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750E39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rowvalue">
    <w:name w:val="rowvalue"/>
    <w:basedOn w:val="Numatytasispastraiposriftas"/>
    <w:rsid w:val="0007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4827</Words>
  <Characters>2752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Palubinskaite</dc:creator>
  <cp:lastModifiedBy>Agnė Jonikaitytė</cp:lastModifiedBy>
  <cp:revision>7</cp:revision>
  <dcterms:created xsi:type="dcterms:W3CDTF">2014-09-05T08:10:00Z</dcterms:created>
  <dcterms:modified xsi:type="dcterms:W3CDTF">2015-01-22T06:22:00Z</dcterms:modified>
</cp:coreProperties>
</file>