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BF63D8" w:rsidRDefault="00825737" w:rsidP="00BF63D8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>PRIE SAVIVALDYBĖS TARYBOS SPRENDIMO „</w:t>
      </w:r>
      <w:r w:rsidR="00120BB8" w:rsidRPr="00120BB8">
        <w:rPr>
          <w:b/>
          <w:caps/>
          <w:sz w:val="24"/>
          <w:szCs w:val="24"/>
          <w:lang w:eastAsia="en-US"/>
        </w:rPr>
        <w:t xml:space="preserve">DĖL Klaipėdos miesto savivaldybės tarybos 2004 m. birželio 23 d. sprendimo Nr. 1-274 „Dėl viešojo tualeto Kopų g. 1A, Melnragėje, paslaugų teikimo tarifų </w:t>
      </w:r>
      <w:r w:rsidR="000600F6">
        <w:rPr>
          <w:b/>
          <w:caps/>
          <w:sz w:val="24"/>
          <w:szCs w:val="24"/>
          <w:lang w:eastAsia="en-US"/>
        </w:rPr>
        <w:t>nustaty</w:t>
      </w:r>
      <w:r w:rsidR="00CC1DD8">
        <w:rPr>
          <w:b/>
          <w:caps/>
          <w:sz w:val="24"/>
          <w:szCs w:val="24"/>
          <w:lang w:eastAsia="en-US"/>
        </w:rPr>
        <w:t>mo</w:t>
      </w:r>
      <w:r w:rsidR="00120BB8" w:rsidRPr="00120BB8">
        <w:rPr>
          <w:b/>
          <w:caps/>
          <w:sz w:val="24"/>
          <w:szCs w:val="24"/>
          <w:lang w:eastAsia="en-US"/>
        </w:rPr>
        <w:t>“</w:t>
      </w:r>
      <w:r w:rsidR="00120BB8" w:rsidRPr="00120BB8">
        <w:rPr>
          <w:b/>
          <w:sz w:val="24"/>
          <w:szCs w:val="24"/>
          <w:lang w:eastAsia="en-US"/>
        </w:rPr>
        <w:t xml:space="preserve"> </w:t>
      </w:r>
      <w:r w:rsidR="00120BB8" w:rsidRPr="00120BB8">
        <w:rPr>
          <w:b/>
          <w:caps/>
          <w:sz w:val="24"/>
          <w:szCs w:val="24"/>
          <w:lang w:eastAsia="en-US"/>
        </w:rPr>
        <w:t>pakeitimo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Default="00825737" w:rsidP="008D1886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 xml:space="preserve">as parengtas siekiant pakeisti </w:t>
      </w:r>
      <w:r w:rsidR="0008044A" w:rsidRPr="0008044A">
        <w:rPr>
          <w:sz w:val="24"/>
          <w:szCs w:val="24"/>
          <w:lang w:eastAsia="en-US"/>
        </w:rPr>
        <w:t xml:space="preserve">viešojo tualeto Kopų g. 1A, Melnragėje, </w:t>
      </w:r>
      <w:r w:rsidR="00AB7067" w:rsidRPr="0008044A">
        <w:rPr>
          <w:sz w:val="24"/>
          <w:szCs w:val="24"/>
          <w:lang w:eastAsia="en-US"/>
        </w:rPr>
        <w:t>paslaugų</w:t>
      </w:r>
      <w:r w:rsidR="00AB7067">
        <w:rPr>
          <w:sz w:val="24"/>
          <w:szCs w:val="24"/>
          <w:lang w:eastAsia="en-US"/>
        </w:rPr>
        <w:t xml:space="preserve"> teikimo</w:t>
      </w:r>
      <w:r w:rsidR="0008044A" w:rsidRPr="0008044A">
        <w:rPr>
          <w:sz w:val="24"/>
          <w:szCs w:val="24"/>
          <w:lang w:eastAsia="en-US"/>
        </w:rPr>
        <w:t xml:space="preserve"> </w:t>
      </w:r>
      <w:r w:rsidR="00AB7067">
        <w:rPr>
          <w:sz w:val="24"/>
          <w:szCs w:val="24"/>
          <w:lang w:eastAsia="en-US"/>
        </w:rPr>
        <w:t>tarifą</w:t>
      </w:r>
      <w:r w:rsidR="00BF63D8">
        <w:rPr>
          <w:sz w:val="24"/>
          <w:szCs w:val="24"/>
        </w:rPr>
        <w:t>.</w:t>
      </w:r>
    </w:p>
    <w:p w:rsidR="00770FE2" w:rsidRPr="00770FE2" w:rsidRDefault="0008044A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Šiuo metu tualeto </w:t>
      </w:r>
      <w:r w:rsidR="00AB7067">
        <w:rPr>
          <w:sz w:val="24"/>
          <w:szCs w:val="24"/>
        </w:rPr>
        <w:t>paslaugos tarifas</w:t>
      </w:r>
      <w:r w:rsidR="00D80618">
        <w:rPr>
          <w:sz w:val="24"/>
          <w:szCs w:val="24"/>
        </w:rPr>
        <w:t xml:space="preserve"> 0,</w:t>
      </w:r>
      <w:r>
        <w:rPr>
          <w:sz w:val="24"/>
          <w:szCs w:val="24"/>
        </w:rPr>
        <w:t>1</w:t>
      </w:r>
      <w:r w:rsidR="00F20A6C">
        <w:rPr>
          <w:sz w:val="24"/>
          <w:szCs w:val="24"/>
        </w:rPr>
        <w:t>4</w:t>
      </w:r>
      <w:r>
        <w:rPr>
          <w:sz w:val="24"/>
          <w:szCs w:val="24"/>
        </w:rPr>
        <w:t xml:space="preserve"> Eur, dušo </w:t>
      </w:r>
      <w:r w:rsidR="00AB7067" w:rsidRPr="00AB7067">
        <w:rPr>
          <w:b/>
          <w:sz w:val="24"/>
          <w:szCs w:val="24"/>
        </w:rPr>
        <w:t>-</w:t>
      </w:r>
      <w:r w:rsidRPr="00AB7067">
        <w:rPr>
          <w:b/>
          <w:sz w:val="24"/>
          <w:szCs w:val="24"/>
        </w:rPr>
        <w:t xml:space="preserve"> </w:t>
      </w:r>
      <w:r w:rsidR="002203D4">
        <w:rPr>
          <w:sz w:val="24"/>
          <w:szCs w:val="24"/>
        </w:rPr>
        <w:t>1,45 Eur</w:t>
      </w:r>
      <w:r w:rsidR="00D80618">
        <w:rPr>
          <w:sz w:val="24"/>
          <w:szCs w:val="24"/>
        </w:rPr>
        <w:t xml:space="preserve">. </w:t>
      </w:r>
      <w:r w:rsidR="002C6A73">
        <w:rPr>
          <w:sz w:val="24"/>
          <w:szCs w:val="24"/>
        </w:rPr>
        <w:t xml:space="preserve"> Planuojami paslaugų </w:t>
      </w:r>
      <w:r w:rsidR="00AB7067">
        <w:rPr>
          <w:sz w:val="24"/>
          <w:szCs w:val="24"/>
        </w:rPr>
        <w:t>tarifai</w:t>
      </w:r>
      <w:r w:rsidR="008525F5">
        <w:rPr>
          <w:sz w:val="24"/>
          <w:szCs w:val="24"/>
        </w:rPr>
        <w:t>:</w:t>
      </w:r>
      <w:r w:rsidR="002C6A73">
        <w:rPr>
          <w:sz w:val="24"/>
          <w:szCs w:val="24"/>
        </w:rPr>
        <w:t xml:space="preserve"> tualeto </w:t>
      </w:r>
      <w:r w:rsidR="00AB7067">
        <w:rPr>
          <w:sz w:val="24"/>
          <w:szCs w:val="24"/>
        </w:rPr>
        <w:t>-</w:t>
      </w:r>
      <w:r w:rsidR="002C6A73">
        <w:rPr>
          <w:sz w:val="24"/>
          <w:szCs w:val="24"/>
        </w:rPr>
        <w:t xml:space="preserve"> 0,30 Eur, dušo </w:t>
      </w:r>
      <w:r w:rsidR="00AB7067">
        <w:rPr>
          <w:sz w:val="24"/>
          <w:szCs w:val="24"/>
        </w:rPr>
        <w:t>-</w:t>
      </w:r>
      <w:r w:rsidR="002C6A73" w:rsidRPr="008D1886">
        <w:rPr>
          <w:sz w:val="24"/>
          <w:szCs w:val="24"/>
        </w:rPr>
        <w:t xml:space="preserve"> </w:t>
      </w:r>
      <w:r w:rsidR="002C6A73">
        <w:rPr>
          <w:sz w:val="24"/>
          <w:szCs w:val="24"/>
        </w:rPr>
        <w:t>2,00 Eur.</w:t>
      </w:r>
    </w:p>
    <w:p w:rsidR="000F2021" w:rsidRPr="00825737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Teikiamo sprendimo p</w:t>
      </w:r>
      <w:r w:rsidR="00FA4515">
        <w:rPr>
          <w:sz w:val="24"/>
          <w:szCs w:val="24"/>
        </w:rPr>
        <w:t>rojekto tikslas ir uždaviniai –</w:t>
      </w:r>
      <w:r w:rsidR="00CE1144">
        <w:rPr>
          <w:sz w:val="24"/>
          <w:szCs w:val="24"/>
        </w:rPr>
        <w:t xml:space="preserve"> </w:t>
      </w:r>
      <w:r w:rsidR="00FA4515">
        <w:rPr>
          <w:sz w:val="24"/>
          <w:szCs w:val="24"/>
        </w:rPr>
        <w:t>suvienodinti viešojo tualeto</w:t>
      </w:r>
      <w:r w:rsidR="00FA4515" w:rsidRPr="00CE1144">
        <w:rPr>
          <w:sz w:val="24"/>
          <w:szCs w:val="24"/>
        </w:rPr>
        <w:t xml:space="preserve"> </w:t>
      </w:r>
      <w:r w:rsidR="00FA4515">
        <w:rPr>
          <w:sz w:val="24"/>
          <w:szCs w:val="24"/>
        </w:rPr>
        <w:t xml:space="preserve">Kopų g. 1A, Melnragėje teikiamų paslaugų </w:t>
      </w:r>
      <w:r w:rsidR="00FA4515">
        <w:rPr>
          <w:sz w:val="24"/>
          <w:szCs w:val="24"/>
          <w:lang w:eastAsia="en-US"/>
        </w:rPr>
        <w:t>tarifą</w:t>
      </w:r>
      <w:r w:rsidR="00FA4515">
        <w:rPr>
          <w:sz w:val="24"/>
          <w:szCs w:val="24"/>
        </w:rPr>
        <w:t xml:space="preserve"> su mieste esančių viešųjų tualetų teikiamų paslaugų kainomis. Padidinti </w:t>
      </w:r>
      <w:r w:rsidR="0069231D">
        <w:rPr>
          <w:sz w:val="24"/>
          <w:szCs w:val="24"/>
        </w:rPr>
        <w:t xml:space="preserve">viešojo tualeto </w:t>
      </w:r>
      <w:r w:rsidR="00CE1144">
        <w:rPr>
          <w:sz w:val="24"/>
          <w:szCs w:val="24"/>
        </w:rPr>
        <w:t xml:space="preserve">Kopų g. 1A, Melnragėje </w:t>
      </w:r>
      <w:r w:rsidR="0069231D">
        <w:rPr>
          <w:sz w:val="24"/>
          <w:szCs w:val="24"/>
        </w:rPr>
        <w:t xml:space="preserve">paslaugų </w:t>
      </w:r>
      <w:r w:rsidR="004131D8" w:rsidRPr="0008044A">
        <w:rPr>
          <w:sz w:val="24"/>
          <w:szCs w:val="24"/>
          <w:lang w:eastAsia="en-US"/>
        </w:rPr>
        <w:t xml:space="preserve">teikimo </w:t>
      </w:r>
      <w:r w:rsidR="00AB7067">
        <w:rPr>
          <w:sz w:val="24"/>
          <w:szCs w:val="24"/>
          <w:lang w:eastAsia="en-US"/>
        </w:rPr>
        <w:t>tarifą</w:t>
      </w:r>
      <w:r w:rsidR="00AB7067">
        <w:rPr>
          <w:sz w:val="24"/>
          <w:szCs w:val="24"/>
        </w:rPr>
        <w:t>, kad užtikrinti</w:t>
      </w:r>
      <w:r w:rsidR="0069231D">
        <w:rPr>
          <w:sz w:val="24"/>
          <w:szCs w:val="24"/>
        </w:rPr>
        <w:t xml:space="preserve"> </w:t>
      </w:r>
      <w:r w:rsidR="00AB7067">
        <w:rPr>
          <w:sz w:val="24"/>
          <w:szCs w:val="24"/>
        </w:rPr>
        <w:t>Savivaldybės biudžeto</w:t>
      </w:r>
      <w:r w:rsidR="0069231D">
        <w:rPr>
          <w:sz w:val="24"/>
          <w:szCs w:val="24"/>
        </w:rPr>
        <w:t xml:space="preserve"> lėšų </w:t>
      </w:r>
      <w:r w:rsidR="00AB7067">
        <w:rPr>
          <w:sz w:val="24"/>
          <w:szCs w:val="24"/>
        </w:rPr>
        <w:t>mažesnį panaudojimą</w:t>
      </w:r>
      <w:r w:rsidR="0039737E">
        <w:rPr>
          <w:sz w:val="24"/>
          <w:szCs w:val="24"/>
        </w:rPr>
        <w:t xml:space="preserve"> dėl padidėjusios minimalios mėnesinės algos</w:t>
      </w:r>
      <w:r w:rsidR="00582836">
        <w:rPr>
          <w:sz w:val="24"/>
          <w:szCs w:val="24"/>
        </w:rPr>
        <w:t xml:space="preserve">. </w:t>
      </w:r>
      <w:r w:rsidR="00CE1144">
        <w:rPr>
          <w:sz w:val="24"/>
          <w:szCs w:val="24"/>
        </w:rPr>
        <w:t xml:space="preserve"> </w:t>
      </w:r>
      <w:r w:rsidR="00582836">
        <w:rPr>
          <w:sz w:val="24"/>
          <w:szCs w:val="24"/>
        </w:rPr>
        <w:t xml:space="preserve">Nuo 2004-05-01 minimali mėnesinė alga pakilo </w:t>
      </w:r>
      <w:r w:rsidR="007723F1">
        <w:rPr>
          <w:sz w:val="24"/>
          <w:szCs w:val="24"/>
        </w:rPr>
        <w:t>88 %</w:t>
      </w:r>
      <w:r w:rsidR="00582836">
        <w:rPr>
          <w:sz w:val="24"/>
          <w:szCs w:val="24"/>
        </w:rPr>
        <w:t xml:space="preserve">.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>Projekto rengimo priežastis –</w:t>
      </w:r>
      <w:r w:rsidR="0069231D">
        <w:rPr>
          <w:sz w:val="24"/>
          <w:szCs w:val="24"/>
        </w:rPr>
        <w:t xml:space="preserve"> </w:t>
      </w:r>
      <w:r w:rsidR="007B5CA3">
        <w:rPr>
          <w:sz w:val="24"/>
          <w:szCs w:val="24"/>
        </w:rPr>
        <w:t xml:space="preserve">užtikrinti, </w:t>
      </w:r>
      <w:r w:rsidR="007925B2">
        <w:rPr>
          <w:sz w:val="24"/>
          <w:szCs w:val="24"/>
        </w:rPr>
        <w:t xml:space="preserve">kad paslauga </w:t>
      </w:r>
      <w:r w:rsidR="009F26D5">
        <w:rPr>
          <w:sz w:val="24"/>
          <w:szCs w:val="24"/>
        </w:rPr>
        <w:t>būtų tei</w:t>
      </w:r>
      <w:r w:rsidR="007B5CA3">
        <w:rPr>
          <w:sz w:val="24"/>
          <w:szCs w:val="24"/>
        </w:rPr>
        <w:t xml:space="preserve">kiama </w:t>
      </w:r>
      <w:r w:rsidR="00FA4515">
        <w:rPr>
          <w:sz w:val="24"/>
          <w:szCs w:val="24"/>
        </w:rPr>
        <w:t xml:space="preserve">mažiau </w:t>
      </w:r>
      <w:r w:rsidR="007B5CA3">
        <w:rPr>
          <w:sz w:val="24"/>
          <w:szCs w:val="24"/>
        </w:rPr>
        <w:t>nuostolingai</w:t>
      </w:r>
      <w:r w:rsidR="00DF309A">
        <w:rPr>
          <w:sz w:val="24"/>
          <w:szCs w:val="24"/>
        </w:rPr>
        <w:t>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295A19" w:rsidRPr="00295A19">
        <w:rPr>
          <w:sz w:val="24"/>
          <w:szCs w:val="24"/>
        </w:rPr>
        <w:t>Lietuvos Respublikos vietos savivaldos įstatymo</w:t>
      </w:r>
      <w:r w:rsidR="00295A19" w:rsidRPr="00295A19">
        <w:rPr>
          <w:color w:val="000000"/>
          <w:sz w:val="24"/>
          <w:szCs w:val="24"/>
        </w:rPr>
        <w:t xml:space="preserve"> </w:t>
      </w:r>
      <w:r w:rsidR="00295A19" w:rsidRPr="00295A19">
        <w:rPr>
          <w:sz w:val="24"/>
          <w:szCs w:val="24"/>
        </w:rPr>
        <w:t xml:space="preserve">16 straipsnio 2 dalies 37 punktu, 18 straipsnio </w:t>
      </w:r>
      <w:r w:rsidR="00295A19" w:rsidRPr="00295A19">
        <w:rPr>
          <w:color w:val="000000"/>
          <w:sz w:val="24"/>
          <w:szCs w:val="24"/>
        </w:rPr>
        <w:t>1 dalimi</w:t>
      </w:r>
      <w:r w:rsidR="00DF309A">
        <w:rPr>
          <w:sz w:val="24"/>
          <w:szCs w:val="24"/>
        </w:rPr>
        <w:t>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7B5CA3" w:rsidP="00EC3A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Tualet</w:t>
      </w:r>
      <w:r w:rsidR="007925B2">
        <w:rPr>
          <w:sz w:val="24"/>
          <w:szCs w:val="24"/>
        </w:rPr>
        <w:t>o</w:t>
      </w:r>
      <w:r>
        <w:rPr>
          <w:sz w:val="24"/>
          <w:szCs w:val="24"/>
        </w:rPr>
        <w:t xml:space="preserve"> ir duš</w:t>
      </w:r>
      <w:r w:rsidR="007925B2">
        <w:rPr>
          <w:sz w:val="24"/>
          <w:szCs w:val="24"/>
        </w:rPr>
        <w:t xml:space="preserve">o teikiamos paslaugos </w:t>
      </w:r>
      <w:r w:rsidR="00FA4515">
        <w:rPr>
          <w:sz w:val="24"/>
          <w:szCs w:val="24"/>
        </w:rPr>
        <w:t xml:space="preserve">būtų </w:t>
      </w:r>
      <w:r w:rsidR="0071623C">
        <w:rPr>
          <w:sz w:val="24"/>
          <w:szCs w:val="24"/>
        </w:rPr>
        <w:t xml:space="preserve">mažiau </w:t>
      </w:r>
      <w:r w:rsidR="007925B2">
        <w:rPr>
          <w:sz w:val="24"/>
          <w:szCs w:val="24"/>
        </w:rPr>
        <w:t>nuostolingos</w:t>
      </w:r>
      <w:r w:rsidR="00883F68">
        <w:rPr>
          <w:sz w:val="24"/>
          <w:szCs w:val="24"/>
        </w:rPr>
        <w:t>.</w:t>
      </w:r>
      <w:r w:rsidR="009F2F89">
        <w:rPr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9F26D5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Teigiamai, nes būtų </w:t>
      </w:r>
      <w:r w:rsidR="006E1BF6">
        <w:rPr>
          <w:sz w:val="24"/>
          <w:szCs w:val="24"/>
        </w:rPr>
        <w:t>sumažintas Savivaldybės biudžeto lėšų naudojimas ir suvienodinti viso miesto viešųjų tualetų paslaugų tarifai.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BC7EB2" w:rsidRPr="00174FCE" w:rsidRDefault="006E1BF6" w:rsidP="00174FCE">
      <w:pPr>
        <w:ind w:firstLine="720"/>
        <w:jc w:val="both"/>
        <w:rPr>
          <w:sz w:val="24"/>
          <w:szCs w:val="24"/>
        </w:rPr>
      </w:pPr>
      <w:r w:rsidRPr="000B2E45">
        <w:rPr>
          <w:sz w:val="24"/>
          <w:szCs w:val="24"/>
        </w:rPr>
        <w:t xml:space="preserve">Pagal </w:t>
      </w:r>
      <w:r w:rsidR="004131D8">
        <w:rPr>
          <w:sz w:val="24"/>
          <w:szCs w:val="24"/>
        </w:rPr>
        <w:t xml:space="preserve">priedo </w:t>
      </w:r>
      <w:r w:rsidR="007723F1">
        <w:rPr>
          <w:sz w:val="24"/>
          <w:szCs w:val="24"/>
        </w:rPr>
        <w:t>1</w:t>
      </w:r>
      <w:r w:rsidR="004131D8">
        <w:rPr>
          <w:sz w:val="24"/>
          <w:szCs w:val="24"/>
        </w:rPr>
        <w:t xml:space="preserve"> lentelė</w:t>
      </w:r>
      <w:r w:rsidR="007925B2">
        <w:rPr>
          <w:sz w:val="24"/>
          <w:szCs w:val="24"/>
        </w:rPr>
        <w:t>s</w:t>
      </w:r>
      <w:r>
        <w:rPr>
          <w:sz w:val="24"/>
          <w:szCs w:val="24"/>
        </w:rPr>
        <w:t xml:space="preserve"> pateiktus </w:t>
      </w:r>
      <w:r w:rsidR="007925B2">
        <w:rPr>
          <w:sz w:val="24"/>
          <w:szCs w:val="24"/>
        </w:rPr>
        <w:t>2014 metų duomenis</w:t>
      </w:r>
      <w:r>
        <w:rPr>
          <w:sz w:val="24"/>
          <w:szCs w:val="24"/>
        </w:rPr>
        <w:t>, p</w:t>
      </w:r>
      <w:r w:rsidR="004131D8">
        <w:rPr>
          <w:sz w:val="24"/>
          <w:szCs w:val="24"/>
        </w:rPr>
        <w:t xml:space="preserve">adidinus </w:t>
      </w:r>
      <w:r w:rsidR="007925B2">
        <w:rPr>
          <w:sz w:val="24"/>
          <w:szCs w:val="24"/>
        </w:rPr>
        <w:t>teikiamos paslaugos tarifą</w:t>
      </w:r>
      <w:r w:rsidR="004131D8">
        <w:rPr>
          <w:sz w:val="24"/>
          <w:szCs w:val="24"/>
        </w:rPr>
        <w:t xml:space="preserve"> būtų surinkta </w:t>
      </w:r>
      <w:r w:rsidR="004131D8" w:rsidRPr="004131D8">
        <w:rPr>
          <w:sz w:val="24"/>
          <w:szCs w:val="24"/>
        </w:rPr>
        <w:t>2071,98</w:t>
      </w:r>
      <w:r w:rsidR="004131D8">
        <w:rPr>
          <w:b/>
          <w:sz w:val="24"/>
          <w:szCs w:val="24"/>
        </w:rPr>
        <w:t xml:space="preserve"> </w:t>
      </w:r>
      <w:r w:rsidR="007925B2">
        <w:rPr>
          <w:sz w:val="24"/>
          <w:szCs w:val="24"/>
        </w:rPr>
        <w:t>Eur</w:t>
      </w:r>
      <w:r>
        <w:rPr>
          <w:sz w:val="24"/>
          <w:szCs w:val="24"/>
        </w:rPr>
        <w:t xml:space="preserve"> daugiau. </w:t>
      </w:r>
      <w:r w:rsidR="00335CBD">
        <w:rPr>
          <w:sz w:val="24"/>
          <w:szCs w:val="24"/>
        </w:rPr>
        <w:t xml:space="preserve">Šiuo metu </w:t>
      </w:r>
      <w:r w:rsidR="007925B2">
        <w:rPr>
          <w:sz w:val="24"/>
          <w:szCs w:val="24"/>
        </w:rPr>
        <w:t xml:space="preserve">iš </w:t>
      </w:r>
      <w:r w:rsidR="00335CBD">
        <w:rPr>
          <w:sz w:val="24"/>
          <w:szCs w:val="24"/>
        </w:rPr>
        <w:t xml:space="preserve">surenkamų lėšų nepakanka atlyginimo ir socialinio draudimo išmokoms </w:t>
      </w:r>
      <w:r w:rsidR="007925B2">
        <w:rPr>
          <w:sz w:val="24"/>
          <w:szCs w:val="24"/>
        </w:rPr>
        <w:t>apmokė</w:t>
      </w:r>
      <w:r w:rsidR="00335CBD">
        <w:rPr>
          <w:sz w:val="24"/>
          <w:szCs w:val="24"/>
        </w:rPr>
        <w:t>ti (</w:t>
      </w:r>
      <w:r w:rsidR="007925B2">
        <w:rPr>
          <w:sz w:val="24"/>
          <w:szCs w:val="24"/>
        </w:rPr>
        <w:t>P</w:t>
      </w:r>
      <w:r w:rsidR="00335CBD">
        <w:rPr>
          <w:sz w:val="24"/>
          <w:szCs w:val="24"/>
        </w:rPr>
        <w:t xml:space="preserve">riedo </w:t>
      </w:r>
      <w:r w:rsidR="007723F1">
        <w:rPr>
          <w:sz w:val="24"/>
          <w:szCs w:val="24"/>
        </w:rPr>
        <w:t>2</w:t>
      </w:r>
      <w:r w:rsidR="00335CBD">
        <w:rPr>
          <w:sz w:val="24"/>
          <w:szCs w:val="24"/>
        </w:rPr>
        <w:t xml:space="preserve"> lentelė)</w:t>
      </w:r>
      <w:r w:rsidR="007925B2">
        <w:rPr>
          <w:sz w:val="24"/>
          <w:szCs w:val="24"/>
        </w:rPr>
        <w:t xml:space="preserve"> todėl yra naudojamos Savivaldybės biudžeto lėšos</w:t>
      </w:r>
      <w:r w:rsidR="00335C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Atsižvelgus į </w:t>
      </w:r>
      <w:r w:rsidR="007925B2">
        <w:rPr>
          <w:sz w:val="24"/>
          <w:szCs w:val="24"/>
        </w:rPr>
        <w:t xml:space="preserve">būsimą </w:t>
      </w:r>
      <w:r>
        <w:rPr>
          <w:sz w:val="24"/>
          <w:szCs w:val="24"/>
        </w:rPr>
        <w:t xml:space="preserve">surenkamų lėšų pokytį galima prognozuoti, kad </w:t>
      </w:r>
      <w:r w:rsidR="007925B2">
        <w:rPr>
          <w:sz w:val="24"/>
          <w:szCs w:val="24"/>
        </w:rPr>
        <w:t>reikės mažiau Savivaldybės biudžeto lėšų</w:t>
      </w:r>
      <w:r w:rsidR="00335CBD">
        <w:rPr>
          <w:sz w:val="24"/>
          <w:szCs w:val="24"/>
        </w:rPr>
        <w:t xml:space="preserve"> (</w:t>
      </w:r>
      <w:r w:rsidR="007925B2">
        <w:rPr>
          <w:sz w:val="24"/>
          <w:szCs w:val="24"/>
        </w:rPr>
        <w:t>P</w:t>
      </w:r>
      <w:r w:rsidR="00335CBD">
        <w:rPr>
          <w:sz w:val="24"/>
          <w:szCs w:val="24"/>
        </w:rPr>
        <w:t>riedo</w:t>
      </w:r>
      <w:r w:rsidR="00092AB6">
        <w:rPr>
          <w:sz w:val="24"/>
          <w:szCs w:val="24"/>
        </w:rPr>
        <w:t xml:space="preserve"> </w:t>
      </w:r>
      <w:r w:rsidR="007723F1">
        <w:rPr>
          <w:sz w:val="24"/>
          <w:szCs w:val="24"/>
        </w:rPr>
        <w:t>2</w:t>
      </w:r>
      <w:r w:rsidR="00092AB6">
        <w:rPr>
          <w:sz w:val="24"/>
          <w:szCs w:val="24"/>
        </w:rPr>
        <w:t xml:space="preserve"> lentelė)</w:t>
      </w:r>
      <w:r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3A6B44">
        <w:rPr>
          <w:sz w:val="24"/>
          <w:szCs w:val="24"/>
        </w:rPr>
        <w:t>nereikės didinti finansavimo iš Savivaldybės biudžeto lėšų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p w:rsidR="00FB44EC" w:rsidRDefault="00FB44EC" w:rsidP="00DF2774">
      <w:pPr>
        <w:tabs>
          <w:tab w:val="left" w:pos="7920"/>
        </w:tabs>
        <w:jc w:val="both"/>
        <w:rPr>
          <w:sz w:val="24"/>
          <w:szCs w:val="24"/>
        </w:rPr>
      </w:pPr>
    </w:p>
    <w:p w:rsidR="00FB44EC" w:rsidRDefault="00FB44EC" w:rsidP="00DF2774">
      <w:pPr>
        <w:tabs>
          <w:tab w:val="left" w:pos="7920"/>
        </w:tabs>
        <w:jc w:val="both"/>
        <w:rPr>
          <w:sz w:val="24"/>
          <w:szCs w:val="24"/>
        </w:rPr>
      </w:pPr>
    </w:p>
    <w:p w:rsidR="00FB44EC" w:rsidRDefault="00FB44EC" w:rsidP="00DF2774">
      <w:pPr>
        <w:tabs>
          <w:tab w:val="left" w:pos="7920"/>
        </w:tabs>
        <w:jc w:val="both"/>
        <w:rPr>
          <w:sz w:val="24"/>
          <w:szCs w:val="24"/>
        </w:rPr>
      </w:pPr>
    </w:p>
    <w:p w:rsidR="00CE0CB3" w:rsidRDefault="00CE0CB3" w:rsidP="00174FCE">
      <w:pPr>
        <w:jc w:val="both"/>
        <w:rPr>
          <w:sz w:val="24"/>
          <w:szCs w:val="24"/>
        </w:rPr>
        <w:sectPr w:rsidR="00CE0CB3" w:rsidSect="00CE0CB3">
          <w:pgSz w:w="11907" w:h="16839" w:code="9"/>
          <w:pgMar w:top="1134" w:right="567" w:bottom="567" w:left="1701" w:header="567" w:footer="147" w:gutter="0"/>
          <w:cols w:space="708"/>
          <w:titlePg/>
          <w:docGrid w:linePitch="360"/>
        </w:sectPr>
      </w:pPr>
    </w:p>
    <w:p w:rsidR="00CE0CB3" w:rsidRDefault="00AB7067" w:rsidP="00364B3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64B34">
        <w:rPr>
          <w:sz w:val="24"/>
          <w:szCs w:val="24"/>
        </w:rPr>
        <w:t>riedas</w:t>
      </w:r>
    </w:p>
    <w:p w:rsidR="00DD706F" w:rsidRDefault="00DD706F" w:rsidP="00364B34">
      <w:pPr>
        <w:jc w:val="both"/>
        <w:rPr>
          <w:sz w:val="24"/>
          <w:szCs w:val="24"/>
        </w:rPr>
      </w:pPr>
    </w:p>
    <w:p w:rsidR="00CE0CB3" w:rsidRPr="00AB7067" w:rsidRDefault="00CE0CB3" w:rsidP="00FB44EC">
      <w:pPr>
        <w:ind w:firstLine="720"/>
        <w:jc w:val="both"/>
      </w:pPr>
    </w:p>
    <w:p w:rsidR="00FB44EC" w:rsidRPr="00AB7067" w:rsidRDefault="00582836" w:rsidP="00DF2774">
      <w:pPr>
        <w:tabs>
          <w:tab w:val="left" w:pos="7920"/>
        </w:tabs>
        <w:jc w:val="both"/>
      </w:pPr>
      <w:r>
        <w:t>1</w:t>
      </w:r>
      <w:r w:rsidR="006E1BF6" w:rsidRPr="00AB7067">
        <w:t xml:space="preserve">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0"/>
        <w:gridCol w:w="1554"/>
        <w:gridCol w:w="991"/>
        <w:gridCol w:w="1553"/>
        <w:gridCol w:w="1410"/>
        <w:gridCol w:w="1273"/>
        <w:gridCol w:w="1554"/>
      </w:tblGrid>
      <w:tr w:rsidR="00086ECA" w:rsidRPr="00AB7067" w:rsidTr="00705D73">
        <w:tc>
          <w:tcPr>
            <w:tcW w:w="1520" w:type="dxa"/>
            <w:vMerge w:val="restart"/>
          </w:tcPr>
          <w:p w:rsidR="00086ECA" w:rsidRPr="00AB7067" w:rsidRDefault="00086ECA" w:rsidP="006C00A8">
            <w:pPr>
              <w:jc w:val="both"/>
              <w:rPr>
                <w:b/>
              </w:rPr>
            </w:pPr>
            <w:r w:rsidRPr="00AB7067">
              <w:t>Paslauga</w:t>
            </w:r>
          </w:p>
        </w:tc>
        <w:tc>
          <w:tcPr>
            <w:tcW w:w="1554" w:type="dxa"/>
            <w:vMerge w:val="restart"/>
          </w:tcPr>
          <w:p w:rsidR="00086ECA" w:rsidRPr="00AB7067" w:rsidRDefault="00086ECA" w:rsidP="006C00A8">
            <w:pPr>
              <w:jc w:val="both"/>
              <w:rPr>
                <w:b/>
              </w:rPr>
            </w:pPr>
            <w:r w:rsidRPr="00AB7067">
              <w:t>Lankytojų skaičius 2014 metais</w:t>
            </w:r>
          </w:p>
        </w:tc>
        <w:tc>
          <w:tcPr>
            <w:tcW w:w="2544" w:type="dxa"/>
            <w:gridSpan w:val="2"/>
          </w:tcPr>
          <w:p w:rsidR="00086ECA" w:rsidRPr="00AB7067" w:rsidRDefault="00086ECA" w:rsidP="006C00A8">
            <w:pPr>
              <w:jc w:val="center"/>
              <w:rPr>
                <w:b/>
              </w:rPr>
            </w:pPr>
            <w:r w:rsidRPr="00AB7067">
              <w:rPr>
                <w:b/>
              </w:rPr>
              <w:t>Pagal nustatytą tarifą</w:t>
            </w:r>
          </w:p>
        </w:tc>
        <w:tc>
          <w:tcPr>
            <w:tcW w:w="2683" w:type="dxa"/>
            <w:gridSpan w:val="2"/>
          </w:tcPr>
          <w:p w:rsidR="00086ECA" w:rsidRPr="00AB7067" w:rsidRDefault="00086ECA" w:rsidP="006C00A8">
            <w:pPr>
              <w:jc w:val="center"/>
              <w:rPr>
                <w:b/>
              </w:rPr>
            </w:pPr>
            <w:r w:rsidRPr="00AB7067">
              <w:rPr>
                <w:b/>
              </w:rPr>
              <w:t>Pagal padidintą tarifą</w:t>
            </w:r>
            <w:r>
              <w:rPr>
                <w:b/>
              </w:rPr>
              <w:t xml:space="preserve"> I variantas</w:t>
            </w:r>
          </w:p>
        </w:tc>
        <w:tc>
          <w:tcPr>
            <w:tcW w:w="1554" w:type="dxa"/>
            <w:vMerge w:val="restart"/>
          </w:tcPr>
          <w:p w:rsidR="00086ECA" w:rsidRPr="00AB7067" w:rsidRDefault="00086ECA" w:rsidP="006C00A8">
            <w:pPr>
              <w:jc w:val="both"/>
              <w:rPr>
                <w:b/>
              </w:rPr>
            </w:pPr>
            <w:r w:rsidRPr="00AB7067">
              <w:t>Pokytis, Eur</w:t>
            </w:r>
          </w:p>
        </w:tc>
      </w:tr>
      <w:tr w:rsidR="00086ECA" w:rsidRPr="00AB7067" w:rsidTr="00915D80">
        <w:tc>
          <w:tcPr>
            <w:tcW w:w="1520" w:type="dxa"/>
            <w:vMerge/>
          </w:tcPr>
          <w:p w:rsidR="00086ECA" w:rsidRPr="00AB7067" w:rsidRDefault="00086ECA" w:rsidP="006C00A8">
            <w:pPr>
              <w:jc w:val="both"/>
            </w:pPr>
          </w:p>
        </w:tc>
        <w:tc>
          <w:tcPr>
            <w:tcW w:w="1554" w:type="dxa"/>
            <w:vMerge/>
          </w:tcPr>
          <w:p w:rsidR="00086ECA" w:rsidRPr="00AB7067" w:rsidRDefault="00086ECA" w:rsidP="006C00A8">
            <w:pPr>
              <w:jc w:val="both"/>
            </w:pPr>
          </w:p>
        </w:tc>
        <w:tc>
          <w:tcPr>
            <w:tcW w:w="991" w:type="dxa"/>
          </w:tcPr>
          <w:p w:rsidR="00086ECA" w:rsidRPr="00AB7067" w:rsidRDefault="00086ECA" w:rsidP="006C00A8">
            <w:pPr>
              <w:jc w:val="both"/>
            </w:pPr>
            <w:r w:rsidRPr="00AB7067">
              <w:t>Tarifas, Eur</w:t>
            </w:r>
          </w:p>
        </w:tc>
        <w:tc>
          <w:tcPr>
            <w:tcW w:w="1553" w:type="dxa"/>
          </w:tcPr>
          <w:p w:rsidR="00086ECA" w:rsidRPr="00AB7067" w:rsidRDefault="00086ECA" w:rsidP="006C00A8">
            <w:pPr>
              <w:jc w:val="both"/>
            </w:pPr>
            <w:r w:rsidRPr="00AB7067">
              <w:t>Surinkta lėšų, Eur</w:t>
            </w:r>
          </w:p>
        </w:tc>
        <w:tc>
          <w:tcPr>
            <w:tcW w:w="1410" w:type="dxa"/>
          </w:tcPr>
          <w:p w:rsidR="00086ECA" w:rsidRPr="00AB7067" w:rsidRDefault="00086ECA" w:rsidP="006C00A8">
            <w:pPr>
              <w:jc w:val="both"/>
            </w:pPr>
            <w:r w:rsidRPr="00AB7067">
              <w:t>Tarifas, Eur</w:t>
            </w:r>
          </w:p>
        </w:tc>
        <w:tc>
          <w:tcPr>
            <w:tcW w:w="1273" w:type="dxa"/>
          </w:tcPr>
          <w:p w:rsidR="00086ECA" w:rsidRPr="00AB7067" w:rsidRDefault="00086ECA" w:rsidP="006C00A8">
            <w:pPr>
              <w:jc w:val="both"/>
            </w:pPr>
            <w:r w:rsidRPr="00AB7067">
              <w:t>Surinkta lėšų, Eur</w:t>
            </w:r>
          </w:p>
        </w:tc>
        <w:tc>
          <w:tcPr>
            <w:tcW w:w="1554" w:type="dxa"/>
            <w:vMerge/>
          </w:tcPr>
          <w:p w:rsidR="00086ECA" w:rsidRPr="00AB7067" w:rsidRDefault="00086ECA" w:rsidP="006C00A8">
            <w:pPr>
              <w:jc w:val="both"/>
            </w:pPr>
          </w:p>
        </w:tc>
      </w:tr>
      <w:tr w:rsidR="00086ECA" w:rsidRPr="00AB7067" w:rsidTr="00915D80">
        <w:tc>
          <w:tcPr>
            <w:tcW w:w="1520" w:type="dxa"/>
          </w:tcPr>
          <w:p w:rsidR="00086ECA" w:rsidRPr="00AB7067" w:rsidRDefault="00086ECA" w:rsidP="006C00A8">
            <w:pPr>
              <w:jc w:val="both"/>
            </w:pPr>
            <w:r w:rsidRPr="00AB7067">
              <w:t>Tualetas</w:t>
            </w:r>
          </w:p>
        </w:tc>
        <w:tc>
          <w:tcPr>
            <w:tcW w:w="1554" w:type="dxa"/>
          </w:tcPr>
          <w:p w:rsidR="00086ECA" w:rsidRPr="00AB7067" w:rsidRDefault="00086ECA" w:rsidP="00344621">
            <w:pPr>
              <w:jc w:val="both"/>
            </w:pPr>
            <w:r w:rsidRPr="00AB7067">
              <w:t>11953</w:t>
            </w:r>
          </w:p>
        </w:tc>
        <w:tc>
          <w:tcPr>
            <w:tcW w:w="991" w:type="dxa"/>
          </w:tcPr>
          <w:p w:rsidR="00086ECA" w:rsidRPr="00AB7067" w:rsidRDefault="00086ECA" w:rsidP="006C00A8">
            <w:pPr>
              <w:jc w:val="both"/>
            </w:pPr>
            <w:r w:rsidRPr="00AB7067">
              <w:t>0,14</w:t>
            </w:r>
          </w:p>
        </w:tc>
        <w:tc>
          <w:tcPr>
            <w:tcW w:w="1553" w:type="dxa"/>
          </w:tcPr>
          <w:p w:rsidR="00086ECA" w:rsidRPr="00AB7067" w:rsidRDefault="00086ECA" w:rsidP="00DD706F">
            <w:pPr>
              <w:jc w:val="both"/>
            </w:pPr>
            <w:r w:rsidRPr="00AB7067">
              <w:t>1673,42</w:t>
            </w:r>
          </w:p>
        </w:tc>
        <w:tc>
          <w:tcPr>
            <w:tcW w:w="1410" w:type="dxa"/>
          </w:tcPr>
          <w:p w:rsidR="00086ECA" w:rsidRPr="00AB7067" w:rsidRDefault="00086ECA" w:rsidP="006C00A8">
            <w:pPr>
              <w:jc w:val="both"/>
            </w:pPr>
            <w:r w:rsidRPr="00AB7067">
              <w:t>0,30</w:t>
            </w:r>
          </w:p>
        </w:tc>
        <w:tc>
          <w:tcPr>
            <w:tcW w:w="1273" w:type="dxa"/>
          </w:tcPr>
          <w:p w:rsidR="00086ECA" w:rsidRPr="00AB7067" w:rsidRDefault="00086ECA">
            <w:pPr>
              <w:rPr>
                <w:lang w:eastAsia="en-US"/>
              </w:rPr>
            </w:pPr>
            <w:r w:rsidRPr="00AB7067">
              <w:t>3585,90</w:t>
            </w:r>
          </w:p>
        </w:tc>
        <w:tc>
          <w:tcPr>
            <w:tcW w:w="1554" w:type="dxa"/>
          </w:tcPr>
          <w:p w:rsidR="00086ECA" w:rsidRPr="00AB7067" w:rsidRDefault="00086ECA">
            <w:pPr>
              <w:rPr>
                <w:lang w:eastAsia="en-US"/>
              </w:rPr>
            </w:pPr>
            <w:r w:rsidRPr="00AB7067">
              <w:t>1912,48</w:t>
            </w:r>
          </w:p>
        </w:tc>
      </w:tr>
      <w:tr w:rsidR="00086ECA" w:rsidRPr="00AB7067" w:rsidTr="00915D80">
        <w:tc>
          <w:tcPr>
            <w:tcW w:w="1520" w:type="dxa"/>
          </w:tcPr>
          <w:p w:rsidR="00086ECA" w:rsidRPr="00AB7067" w:rsidRDefault="00086ECA" w:rsidP="006C00A8">
            <w:pPr>
              <w:jc w:val="both"/>
            </w:pPr>
            <w:r w:rsidRPr="00AB7067">
              <w:t>Dušas</w:t>
            </w:r>
          </w:p>
        </w:tc>
        <w:tc>
          <w:tcPr>
            <w:tcW w:w="1554" w:type="dxa"/>
          </w:tcPr>
          <w:p w:rsidR="00086ECA" w:rsidRPr="00AB7067" w:rsidRDefault="00086ECA" w:rsidP="006C00A8">
            <w:pPr>
              <w:jc w:val="both"/>
            </w:pPr>
            <w:r w:rsidRPr="00AB7067">
              <w:t>290</w:t>
            </w:r>
          </w:p>
        </w:tc>
        <w:tc>
          <w:tcPr>
            <w:tcW w:w="991" w:type="dxa"/>
          </w:tcPr>
          <w:p w:rsidR="00086ECA" w:rsidRPr="00AB7067" w:rsidRDefault="00086ECA" w:rsidP="006C00A8">
            <w:pPr>
              <w:jc w:val="both"/>
            </w:pPr>
            <w:r w:rsidRPr="00AB7067">
              <w:t>1,45</w:t>
            </w:r>
          </w:p>
        </w:tc>
        <w:tc>
          <w:tcPr>
            <w:tcW w:w="1553" w:type="dxa"/>
          </w:tcPr>
          <w:p w:rsidR="00086ECA" w:rsidRPr="00AB7067" w:rsidRDefault="00086ECA" w:rsidP="006C00A8">
            <w:pPr>
              <w:jc w:val="both"/>
            </w:pPr>
            <w:r w:rsidRPr="00AB7067">
              <w:t>420,50</w:t>
            </w:r>
          </w:p>
        </w:tc>
        <w:tc>
          <w:tcPr>
            <w:tcW w:w="1410" w:type="dxa"/>
          </w:tcPr>
          <w:p w:rsidR="00086ECA" w:rsidRPr="00AB7067" w:rsidRDefault="00086ECA" w:rsidP="006C00A8">
            <w:pPr>
              <w:jc w:val="both"/>
            </w:pPr>
            <w:r w:rsidRPr="00AB7067">
              <w:t>2,00</w:t>
            </w:r>
          </w:p>
        </w:tc>
        <w:tc>
          <w:tcPr>
            <w:tcW w:w="1273" w:type="dxa"/>
          </w:tcPr>
          <w:p w:rsidR="00086ECA" w:rsidRPr="00AB7067" w:rsidRDefault="00086ECA" w:rsidP="006C00A8">
            <w:pPr>
              <w:jc w:val="both"/>
            </w:pPr>
            <w:r w:rsidRPr="00AB7067">
              <w:rPr>
                <w:rFonts w:eastAsia="Calibri"/>
              </w:rPr>
              <w:t>580,00</w:t>
            </w:r>
          </w:p>
        </w:tc>
        <w:tc>
          <w:tcPr>
            <w:tcW w:w="1554" w:type="dxa"/>
          </w:tcPr>
          <w:p w:rsidR="00086ECA" w:rsidRPr="00AB7067" w:rsidRDefault="00086ECA" w:rsidP="006C00A8">
            <w:pPr>
              <w:jc w:val="both"/>
            </w:pPr>
            <w:r w:rsidRPr="00AB7067">
              <w:rPr>
                <w:rFonts w:eastAsia="Calibri"/>
              </w:rPr>
              <w:t>159,50</w:t>
            </w:r>
          </w:p>
        </w:tc>
      </w:tr>
      <w:tr w:rsidR="00086ECA" w:rsidRPr="00AB7067" w:rsidTr="00915D80">
        <w:tc>
          <w:tcPr>
            <w:tcW w:w="4065" w:type="dxa"/>
            <w:gridSpan w:val="3"/>
          </w:tcPr>
          <w:p w:rsidR="00086ECA" w:rsidRPr="00AB7067" w:rsidRDefault="00086ECA" w:rsidP="006C00A8">
            <w:pPr>
              <w:jc w:val="right"/>
              <w:rPr>
                <w:b/>
              </w:rPr>
            </w:pPr>
            <w:r w:rsidRPr="00AB7067">
              <w:rPr>
                <w:b/>
              </w:rPr>
              <w:t>Viso suma Eur:</w:t>
            </w:r>
          </w:p>
        </w:tc>
        <w:tc>
          <w:tcPr>
            <w:tcW w:w="1553" w:type="dxa"/>
          </w:tcPr>
          <w:p w:rsidR="00086ECA" w:rsidRPr="00AB7067" w:rsidRDefault="00086ECA" w:rsidP="00344621">
            <w:pPr>
              <w:jc w:val="both"/>
              <w:rPr>
                <w:b/>
              </w:rPr>
            </w:pPr>
            <w:r w:rsidRPr="00AB7067">
              <w:rPr>
                <w:b/>
              </w:rPr>
              <w:t>2093,92</w:t>
            </w:r>
          </w:p>
        </w:tc>
        <w:tc>
          <w:tcPr>
            <w:tcW w:w="1410" w:type="dxa"/>
          </w:tcPr>
          <w:p w:rsidR="00086ECA" w:rsidRPr="00AB7067" w:rsidRDefault="00086ECA" w:rsidP="006C00A8">
            <w:pPr>
              <w:jc w:val="both"/>
              <w:rPr>
                <w:b/>
              </w:rPr>
            </w:pPr>
          </w:p>
        </w:tc>
        <w:tc>
          <w:tcPr>
            <w:tcW w:w="1273" w:type="dxa"/>
          </w:tcPr>
          <w:p w:rsidR="00086ECA" w:rsidRPr="00AB7067" w:rsidRDefault="00086ECA">
            <w:pPr>
              <w:rPr>
                <w:b/>
                <w:lang w:eastAsia="en-US"/>
              </w:rPr>
            </w:pPr>
            <w:r w:rsidRPr="00AB7067">
              <w:rPr>
                <w:b/>
              </w:rPr>
              <w:t>4165,90</w:t>
            </w:r>
          </w:p>
        </w:tc>
        <w:tc>
          <w:tcPr>
            <w:tcW w:w="1554" w:type="dxa"/>
          </w:tcPr>
          <w:p w:rsidR="00086ECA" w:rsidRPr="00AB7067" w:rsidRDefault="00086ECA">
            <w:pPr>
              <w:rPr>
                <w:b/>
                <w:lang w:eastAsia="en-US"/>
              </w:rPr>
            </w:pPr>
            <w:r w:rsidRPr="00AB7067">
              <w:rPr>
                <w:b/>
              </w:rPr>
              <w:t>2071,98</w:t>
            </w:r>
          </w:p>
        </w:tc>
      </w:tr>
    </w:tbl>
    <w:p w:rsidR="00364B34" w:rsidRPr="00AB7067" w:rsidRDefault="00364B34" w:rsidP="00DF2774">
      <w:pPr>
        <w:tabs>
          <w:tab w:val="left" w:pos="7920"/>
        </w:tabs>
        <w:jc w:val="both"/>
      </w:pPr>
    </w:p>
    <w:p w:rsidR="00FB44EC" w:rsidRDefault="00582836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4B34">
        <w:rPr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2287"/>
        <w:gridCol w:w="1565"/>
        <w:gridCol w:w="1566"/>
        <w:gridCol w:w="1660"/>
        <w:gridCol w:w="1660"/>
        <w:gridCol w:w="1660"/>
        <w:gridCol w:w="1660"/>
      </w:tblGrid>
      <w:tr w:rsidR="00086ECA" w:rsidTr="00E6506A">
        <w:tc>
          <w:tcPr>
            <w:tcW w:w="2287" w:type="dxa"/>
            <w:vMerge w:val="restart"/>
          </w:tcPr>
          <w:p w:rsidR="00086ECA" w:rsidRPr="00957D7F" w:rsidRDefault="00086ECA" w:rsidP="00574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086ECA" w:rsidRPr="00180483" w:rsidRDefault="00086ECA" w:rsidP="00574744">
            <w:pPr>
              <w:jc w:val="center"/>
              <w:rPr>
                <w:b/>
              </w:rPr>
            </w:pPr>
            <w:r w:rsidRPr="00180483">
              <w:rPr>
                <w:b/>
              </w:rPr>
              <w:t>2014</w:t>
            </w:r>
            <w:r>
              <w:rPr>
                <w:b/>
              </w:rPr>
              <w:t xml:space="preserve"> m.</w:t>
            </w:r>
          </w:p>
        </w:tc>
        <w:tc>
          <w:tcPr>
            <w:tcW w:w="3320" w:type="dxa"/>
            <w:gridSpan w:val="2"/>
          </w:tcPr>
          <w:p w:rsidR="00086ECA" w:rsidRPr="00180483" w:rsidRDefault="00086ECA" w:rsidP="00574744">
            <w:pPr>
              <w:jc w:val="center"/>
              <w:rPr>
                <w:b/>
              </w:rPr>
            </w:pPr>
            <w:r w:rsidRPr="00180483">
              <w:rPr>
                <w:b/>
              </w:rPr>
              <w:t>2015</w:t>
            </w:r>
            <w:r>
              <w:rPr>
                <w:b/>
              </w:rPr>
              <w:t xml:space="preserve"> m.</w:t>
            </w:r>
          </w:p>
        </w:tc>
        <w:tc>
          <w:tcPr>
            <w:tcW w:w="3320" w:type="dxa"/>
            <w:gridSpan w:val="2"/>
          </w:tcPr>
          <w:p w:rsidR="00086ECA" w:rsidRPr="00180483" w:rsidRDefault="00086ECA" w:rsidP="00582836">
            <w:pPr>
              <w:jc w:val="center"/>
              <w:rPr>
                <w:b/>
              </w:rPr>
            </w:pPr>
            <w:r w:rsidRPr="00180483">
              <w:rPr>
                <w:b/>
                <w:bCs/>
                <w:color w:val="000000"/>
              </w:rPr>
              <w:t>2015</w:t>
            </w:r>
            <w:r>
              <w:rPr>
                <w:b/>
                <w:bCs/>
                <w:color w:val="000000"/>
              </w:rPr>
              <w:t xml:space="preserve"> m.</w:t>
            </w:r>
            <w:r w:rsidRPr="00180483">
              <w:rPr>
                <w:b/>
                <w:bCs/>
                <w:color w:val="000000"/>
              </w:rPr>
              <w:t xml:space="preserve"> pagal </w:t>
            </w:r>
            <w:r>
              <w:rPr>
                <w:b/>
                <w:bCs/>
                <w:color w:val="000000"/>
              </w:rPr>
              <w:t xml:space="preserve">I varianto </w:t>
            </w:r>
            <w:r w:rsidRPr="00180483">
              <w:rPr>
                <w:b/>
                <w:bCs/>
                <w:color w:val="000000"/>
              </w:rPr>
              <w:t>padidintus tarifus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86ECA" w:rsidTr="00582836">
        <w:tc>
          <w:tcPr>
            <w:tcW w:w="2287" w:type="dxa"/>
            <w:vMerge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86ECA" w:rsidRPr="00180483" w:rsidRDefault="00086ECA" w:rsidP="00DD49D9">
            <w:pPr>
              <w:jc w:val="center"/>
              <w:rPr>
                <w:b/>
              </w:rPr>
            </w:pPr>
            <w:r w:rsidRPr="00180483">
              <w:rPr>
                <w:b/>
              </w:rPr>
              <w:t>Surinktų pajamų panaudojimas</w:t>
            </w:r>
            <w:r>
              <w:rPr>
                <w:b/>
              </w:rPr>
              <w:t>, Eur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  <w:rPr>
                <w:b/>
              </w:rPr>
            </w:pPr>
            <w:r w:rsidRPr="00180483">
              <w:rPr>
                <w:b/>
              </w:rPr>
              <w:t>Savivaldybės biudžeto lėšų panaudojimas</w:t>
            </w:r>
            <w:r>
              <w:rPr>
                <w:b/>
              </w:rPr>
              <w:t>, Eur</w:t>
            </w:r>
          </w:p>
        </w:tc>
        <w:tc>
          <w:tcPr>
            <w:tcW w:w="1660" w:type="dxa"/>
          </w:tcPr>
          <w:p w:rsidR="00086ECA" w:rsidRPr="00180483" w:rsidRDefault="00086ECA" w:rsidP="00DD49D9">
            <w:pPr>
              <w:jc w:val="center"/>
              <w:rPr>
                <w:b/>
              </w:rPr>
            </w:pPr>
            <w:r>
              <w:rPr>
                <w:b/>
              </w:rPr>
              <w:t>Prognozuojamas s</w:t>
            </w:r>
            <w:r w:rsidRPr="00180483">
              <w:rPr>
                <w:b/>
              </w:rPr>
              <w:t>urinktų pajamų panaudojimas</w:t>
            </w:r>
            <w:r>
              <w:rPr>
                <w:b/>
              </w:rPr>
              <w:t>, Eur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  <w:rPr>
                <w:b/>
              </w:rPr>
            </w:pPr>
            <w:r>
              <w:rPr>
                <w:b/>
              </w:rPr>
              <w:t>Prognozuojamas</w:t>
            </w:r>
            <w:r w:rsidRPr="00180483">
              <w:rPr>
                <w:b/>
              </w:rPr>
              <w:t xml:space="preserve"> Savivaldybės biudžeto lėšų panaudojimas</w:t>
            </w:r>
            <w:r>
              <w:rPr>
                <w:b/>
              </w:rPr>
              <w:t>, Eur</w:t>
            </w:r>
          </w:p>
        </w:tc>
        <w:tc>
          <w:tcPr>
            <w:tcW w:w="1660" w:type="dxa"/>
          </w:tcPr>
          <w:p w:rsidR="00086ECA" w:rsidRPr="00180483" w:rsidRDefault="00086ECA" w:rsidP="00DD49D9">
            <w:pPr>
              <w:jc w:val="center"/>
              <w:rPr>
                <w:b/>
              </w:rPr>
            </w:pPr>
            <w:r>
              <w:rPr>
                <w:b/>
              </w:rPr>
              <w:t>Prognozuojamas</w:t>
            </w:r>
            <w:r w:rsidRPr="00180483">
              <w:rPr>
                <w:b/>
                <w:bCs/>
                <w:color w:val="000000"/>
              </w:rPr>
              <w:t xml:space="preserve"> surinktų pajamų panaudojimas</w:t>
            </w:r>
            <w:r>
              <w:rPr>
                <w:b/>
                <w:bCs/>
                <w:color w:val="000000"/>
              </w:rPr>
              <w:t>, Eur</w:t>
            </w:r>
          </w:p>
        </w:tc>
        <w:tc>
          <w:tcPr>
            <w:tcW w:w="1660" w:type="dxa"/>
          </w:tcPr>
          <w:p w:rsidR="00086ECA" w:rsidRPr="00180483" w:rsidRDefault="00086ECA" w:rsidP="00DD49D9">
            <w:pPr>
              <w:jc w:val="center"/>
              <w:rPr>
                <w:b/>
              </w:rPr>
            </w:pPr>
            <w:r>
              <w:rPr>
                <w:b/>
              </w:rPr>
              <w:t>Prognozuojamas</w:t>
            </w:r>
            <w:r w:rsidRPr="00180483">
              <w:rPr>
                <w:b/>
                <w:bCs/>
                <w:color w:val="000000"/>
              </w:rPr>
              <w:t xml:space="preserve"> Savivaldybės biudžeto lėšų panaudojimas</w:t>
            </w:r>
            <w:r>
              <w:rPr>
                <w:b/>
                <w:bCs/>
                <w:color w:val="000000"/>
              </w:rPr>
              <w:t>, Eur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užmokestis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>
              <w:t>1537,36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2433,00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1998,00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2665,00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3166,08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1496,92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Įnašai socialiniam draudimui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>
              <w:t>556,56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753,00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609,00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840,00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999,82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449,18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Ryšių paslaugos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115,85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116,00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  <w:rPr>
                <w:b/>
                <w:sz w:val="24"/>
                <w:szCs w:val="24"/>
              </w:rPr>
            </w:pPr>
            <w:r w:rsidRPr="00180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116,00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išlaikymas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405,47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405,00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  <w:rPr>
                <w:b/>
                <w:sz w:val="24"/>
                <w:szCs w:val="24"/>
              </w:rPr>
            </w:pPr>
            <w:r w:rsidRPr="00180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405,00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prekės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2432,81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2433,00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  <w:rPr>
                <w:b/>
                <w:sz w:val="24"/>
                <w:szCs w:val="24"/>
              </w:rPr>
            </w:pPr>
            <w:r w:rsidRPr="00180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2433,00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Komunalinės prekės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1419,14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1564,00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  <w:rPr>
                <w:b/>
                <w:sz w:val="24"/>
                <w:szCs w:val="24"/>
              </w:rPr>
            </w:pPr>
            <w:r w:rsidRPr="00180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1564,00</w:t>
            </w:r>
          </w:p>
        </w:tc>
      </w:tr>
      <w:tr w:rsidR="00086ECA" w:rsidTr="00582836">
        <w:tc>
          <w:tcPr>
            <w:tcW w:w="2287" w:type="dxa"/>
          </w:tcPr>
          <w:p w:rsidR="00086ECA" w:rsidRDefault="00086ECA" w:rsidP="00574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paslaugos</w:t>
            </w:r>
          </w:p>
        </w:tc>
        <w:tc>
          <w:tcPr>
            <w:tcW w:w="1565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1013,67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-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956,00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  <w:rPr>
                <w:b/>
                <w:sz w:val="24"/>
                <w:szCs w:val="24"/>
              </w:rPr>
            </w:pPr>
            <w:r w:rsidRPr="00180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956,00</w:t>
            </w:r>
          </w:p>
        </w:tc>
      </w:tr>
      <w:tr w:rsidR="00086ECA" w:rsidTr="00582836">
        <w:tc>
          <w:tcPr>
            <w:tcW w:w="2287" w:type="dxa"/>
          </w:tcPr>
          <w:p w:rsidR="00086ECA" w:rsidRPr="00B52DD2" w:rsidRDefault="00086ECA" w:rsidP="00574744">
            <w:pPr>
              <w:jc w:val="right"/>
              <w:rPr>
                <w:b/>
                <w:sz w:val="24"/>
                <w:szCs w:val="24"/>
              </w:rPr>
            </w:pPr>
            <w:r w:rsidRPr="00B52DD2">
              <w:rPr>
                <w:b/>
                <w:sz w:val="24"/>
                <w:szCs w:val="24"/>
              </w:rPr>
              <w:t>Viso:</w:t>
            </w:r>
          </w:p>
        </w:tc>
        <w:tc>
          <w:tcPr>
            <w:tcW w:w="1565" w:type="dxa"/>
          </w:tcPr>
          <w:p w:rsidR="00086ECA" w:rsidRPr="00180483" w:rsidRDefault="00086ECA" w:rsidP="00180483">
            <w:pPr>
              <w:jc w:val="center"/>
              <w:rPr>
                <w:b/>
              </w:rPr>
            </w:pPr>
            <w:r w:rsidRPr="00180483">
              <w:rPr>
                <w:b/>
              </w:rPr>
              <w:t>2093,92</w:t>
            </w:r>
          </w:p>
        </w:tc>
        <w:tc>
          <w:tcPr>
            <w:tcW w:w="1566" w:type="dxa"/>
          </w:tcPr>
          <w:p w:rsidR="00086ECA" w:rsidRPr="00180483" w:rsidRDefault="00086ECA" w:rsidP="00574744">
            <w:pPr>
              <w:jc w:val="center"/>
            </w:pPr>
            <w:r w:rsidRPr="00180483">
              <w:t>8572,94</w:t>
            </w:r>
          </w:p>
        </w:tc>
        <w:tc>
          <w:tcPr>
            <w:tcW w:w="1660" w:type="dxa"/>
          </w:tcPr>
          <w:p w:rsidR="00086ECA" w:rsidRPr="003F67EE" w:rsidRDefault="00086ECA" w:rsidP="00574744">
            <w:pPr>
              <w:jc w:val="center"/>
              <w:rPr>
                <w:b/>
              </w:rPr>
            </w:pPr>
            <w:r w:rsidRPr="003F67EE">
              <w:rPr>
                <w:b/>
              </w:rPr>
              <w:t>2607,00</w:t>
            </w:r>
          </w:p>
        </w:tc>
        <w:tc>
          <w:tcPr>
            <w:tcW w:w="1660" w:type="dxa"/>
          </w:tcPr>
          <w:p w:rsidR="00086ECA" w:rsidRPr="00180483" w:rsidRDefault="00086ECA" w:rsidP="00574744">
            <w:pPr>
              <w:jc w:val="center"/>
            </w:pPr>
            <w:r w:rsidRPr="00180483">
              <w:t>8979,00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4165,90</w:t>
            </w:r>
          </w:p>
        </w:tc>
        <w:tc>
          <w:tcPr>
            <w:tcW w:w="1660" w:type="dxa"/>
          </w:tcPr>
          <w:p w:rsidR="00086ECA" w:rsidRDefault="00086ECA" w:rsidP="00574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7420,10</w:t>
            </w:r>
          </w:p>
        </w:tc>
      </w:tr>
    </w:tbl>
    <w:p w:rsidR="00180483" w:rsidRPr="00825737" w:rsidRDefault="00DD49D9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PASTABA. Padidinus teikiamų paslaugų tarifą iš Savivaldybės biudžeto lėšų būtų </w:t>
      </w:r>
      <w:r w:rsidR="007325C4">
        <w:rPr>
          <w:sz w:val="24"/>
          <w:szCs w:val="24"/>
        </w:rPr>
        <w:t xml:space="preserve">paimta </w:t>
      </w:r>
      <w:r>
        <w:rPr>
          <w:sz w:val="24"/>
          <w:szCs w:val="24"/>
        </w:rPr>
        <w:t>1528,90 Eur</w:t>
      </w:r>
      <w:r w:rsidR="007325C4">
        <w:rPr>
          <w:sz w:val="24"/>
          <w:szCs w:val="24"/>
        </w:rPr>
        <w:t xml:space="preserve"> mažiau.</w:t>
      </w:r>
    </w:p>
    <w:sectPr w:rsidR="00180483" w:rsidRPr="00825737" w:rsidSect="00180483">
      <w:pgSz w:w="16839" w:h="11907" w:orient="landscape" w:code="9"/>
      <w:pgMar w:top="1701" w:right="1134" w:bottom="567" w:left="567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18" w:rsidRDefault="00695C18" w:rsidP="00115812">
      <w:r>
        <w:separator/>
      </w:r>
    </w:p>
  </w:endnote>
  <w:endnote w:type="continuationSeparator" w:id="0">
    <w:p w:rsidR="00695C18" w:rsidRDefault="00695C18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18" w:rsidRDefault="00695C18" w:rsidP="00115812">
      <w:r>
        <w:separator/>
      </w:r>
    </w:p>
  </w:footnote>
  <w:footnote w:type="continuationSeparator" w:id="0">
    <w:p w:rsidR="00695C18" w:rsidRDefault="00695C18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89D"/>
    <w:rsid w:val="00010E92"/>
    <w:rsid w:val="0002113E"/>
    <w:rsid w:val="00026E96"/>
    <w:rsid w:val="00031821"/>
    <w:rsid w:val="000600F6"/>
    <w:rsid w:val="000621D1"/>
    <w:rsid w:val="000709D7"/>
    <w:rsid w:val="00075955"/>
    <w:rsid w:val="0008044A"/>
    <w:rsid w:val="000857E8"/>
    <w:rsid w:val="00086ECA"/>
    <w:rsid w:val="00086F4B"/>
    <w:rsid w:val="00092AB6"/>
    <w:rsid w:val="000A28C2"/>
    <w:rsid w:val="000A3639"/>
    <w:rsid w:val="000A69A2"/>
    <w:rsid w:val="000B2E45"/>
    <w:rsid w:val="000B33B1"/>
    <w:rsid w:val="000C313E"/>
    <w:rsid w:val="000D736C"/>
    <w:rsid w:val="000E27C4"/>
    <w:rsid w:val="000E5C34"/>
    <w:rsid w:val="000F2021"/>
    <w:rsid w:val="000F296D"/>
    <w:rsid w:val="001028D2"/>
    <w:rsid w:val="00106978"/>
    <w:rsid w:val="00111B12"/>
    <w:rsid w:val="00112DA9"/>
    <w:rsid w:val="00115812"/>
    <w:rsid w:val="00120BB8"/>
    <w:rsid w:val="00130BE4"/>
    <w:rsid w:val="0013348D"/>
    <w:rsid w:val="00152EAC"/>
    <w:rsid w:val="00156426"/>
    <w:rsid w:val="00161520"/>
    <w:rsid w:val="00165549"/>
    <w:rsid w:val="00173940"/>
    <w:rsid w:val="00174FCE"/>
    <w:rsid w:val="00180483"/>
    <w:rsid w:val="0018734C"/>
    <w:rsid w:val="00196D25"/>
    <w:rsid w:val="001B0499"/>
    <w:rsid w:val="001B0534"/>
    <w:rsid w:val="001B6245"/>
    <w:rsid w:val="001C1062"/>
    <w:rsid w:val="001C40B3"/>
    <w:rsid w:val="001D336B"/>
    <w:rsid w:val="001E64D7"/>
    <w:rsid w:val="001F305F"/>
    <w:rsid w:val="00220015"/>
    <w:rsid w:val="002203D4"/>
    <w:rsid w:val="00233245"/>
    <w:rsid w:val="002402EC"/>
    <w:rsid w:val="0026050E"/>
    <w:rsid w:val="00282D29"/>
    <w:rsid w:val="00295A19"/>
    <w:rsid w:val="002A07FE"/>
    <w:rsid w:val="002A4D21"/>
    <w:rsid w:val="002B393B"/>
    <w:rsid w:val="002C0617"/>
    <w:rsid w:val="002C2D93"/>
    <w:rsid w:val="002C6A73"/>
    <w:rsid w:val="002D79D1"/>
    <w:rsid w:val="002E3497"/>
    <w:rsid w:val="002E4910"/>
    <w:rsid w:val="002E660E"/>
    <w:rsid w:val="002E75A2"/>
    <w:rsid w:val="003036C7"/>
    <w:rsid w:val="0031279D"/>
    <w:rsid w:val="00312DDB"/>
    <w:rsid w:val="00335CBD"/>
    <w:rsid w:val="0034331E"/>
    <w:rsid w:val="00344271"/>
    <w:rsid w:val="00344621"/>
    <w:rsid w:val="003446FB"/>
    <w:rsid w:val="00346A1A"/>
    <w:rsid w:val="00364B34"/>
    <w:rsid w:val="00380885"/>
    <w:rsid w:val="0038574C"/>
    <w:rsid w:val="0039737E"/>
    <w:rsid w:val="003A58C7"/>
    <w:rsid w:val="003A6B44"/>
    <w:rsid w:val="003A6D13"/>
    <w:rsid w:val="003A784B"/>
    <w:rsid w:val="003C4C21"/>
    <w:rsid w:val="003F6596"/>
    <w:rsid w:val="003F67EE"/>
    <w:rsid w:val="004038A8"/>
    <w:rsid w:val="00404EE6"/>
    <w:rsid w:val="0040794E"/>
    <w:rsid w:val="004131D8"/>
    <w:rsid w:val="00422D31"/>
    <w:rsid w:val="004271D7"/>
    <w:rsid w:val="00427B15"/>
    <w:rsid w:val="004420E8"/>
    <w:rsid w:val="0044288E"/>
    <w:rsid w:val="0044662C"/>
    <w:rsid w:val="00461382"/>
    <w:rsid w:val="00462447"/>
    <w:rsid w:val="00474C3D"/>
    <w:rsid w:val="00494E42"/>
    <w:rsid w:val="004B50D7"/>
    <w:rsid w:val="004C14AE"/>
    <w:rsid w:val="004C15B1"/>
    <w:rsid w:val="004D77C5"/>
    <w:rsid w:val="004E4761"/>
    <w:rsid w:val="004E6A0F"/>
    <w:rsid w:val="004F448D"/>
    <w:rsid w:val="0052053E"/>
    <w:rsid w:val="00520B5D"/>
    <w:rsid w:val="005215B5"/>
    <w:rsid w:val="00521681"/>
    <w:rsid w:val="00541920"/>
    <w:rsid w:val="0057255B"/>
    <w:rsid w:val="00576C61"/>
    <w:rsid w:val="00582836"/>
    <w:rsid w:val="00584EE5"/>
    <w:rsid w:val="0059112F"/>
    <w:rsid w:val="005912CB"/>
    <w:rsid w:val="005942CB"/>
    <w:rsid w:val="005A491B"/>
    <w:rsid w:val="005B0466"/>
    <w:rsid w:val="005D22E7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90125"/>
    <w:rsid w:val="0069231D"/>
    <w:rsid w:val="00695C18"/>
    <w:rsid w:val="006A270A"/>
    <w:rsid w:val="006B75A2"/>
    <w:rsid w:val="006C00E4"/>
    <w:rsid w:val="006C322F"/>
    <w:rsid w:val="006C3F1F"/>
    <w:rsid w:val="006E1BF6"/>
    <w:rsid w:val="006E326D"/>
    <w:rsid w:val="006E6D35"/>
    <w:rsid w:val="006E7FCE"/>
    <w:rsid w:val="006F1887"/>
    <w:rsid w:val="006F48B4"/>
    <w:rsid w:val="0071267E"/>
    <w:rsid w:val="0071623C"/>
    <w:rsid w:val="007325C4"/>
    <w:rsid w:val="00734B92"/>
    <w:rsid w:val="00736167"/>
    <w:rsid w:val="0076053D"/>
    <w:rsid w:val="00770FE2"/>
    <w:rsid w:val="007723F1"/>
    <w:rsid w:val="00783F85"/>
    <w:rsid w:val="007925B2"/>
    <w:rsid w:val="007B0831"/>
    <w:rsid w:val="007B5267"/>
    <w:rsid w:val="007B5CA3"/>
    <w:rsid w:val="007C38E9"/>
    <w:rsid w:val="007E7D7D"/>
    <w:rsid w:val="007F4565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25F5"/>
    <w:rsid w:val="00853586"/>
    <w:rsid w:val="00857356"/>
    <w:rsid w:val="00860532"/>
    <w:rsid w:val="00865CDB"/>
    <w:rsid w:val="00877292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D1886"/>
    <w:rsid w:val="008E592F"/>
    <w:rsid w:val="008F08D5"/>
    <w:rsid w:val="00901A46"/>
    <w:rsid w:val="009032EB"/>
    <w:rsid w:val="00904290"/>
    <w:rsid w:val="0091335B"/>
    <w:rsid w:val="0091388C"/>
    <w:rsid w:val="00914405"/>
    <w:rsid w:val="009210D9"/>
    <w:rsid w:val="0093565A"/>
    <w:rsid w:val="00936313"/>
    <w:rsid w:val="00955F5E"/>
    <w:rsid w:val="009570F5"/>
    <w:rsid w:val="00957D7F"/>
    <w:rsid w:val="00972851"/>
    <w:rsid w:val="00976F76"/>
    <w:rsid w:val="009811AB"/>
    <w:rsid w:val="00986191"/>
    <w:rsid w:val="009B208A"/>
    <w:rsid w:val="009B279A"/>
    <w:rsid w:val="009B3EC4"/>
    <w:rsid w:val="009C1D39"/>
    <w:rsid w:val="009C5273"/>
    <w:rsid w:val="009E493A"/>
    <w:rsid w:val="009E6C1B"/>
    <w:rsid w:val="009F26D5"/>
    <w:rsid w:val="009F2F89"/>
    <w:rsid w:val="00A025C4"/>
    <w:rsid w:val="00A0272F"/>
    <w:rsid w:val="00A03050"/>
    <w:rsid w:val="00A078DE"/>
    <w:rsid w:val="00A228B5"/>
    <w:rsid w:val="00A302D3"/>
    <w:rsid w:val="00A40C74"/>
    <w:rsid w:val="00A41983"/>
    <w:rsid w:val="00A425A1"/>
    <w:rsid w:val="00A56ED9"/>
    <w:rsid w:val="00A72A47"/>
    <w:rsid w:val="00A73A25"/>
    <w:rsid w:val="00A75FF1"/>
    <w:rsid w:val="00A76DF3"/>
    <w:rsid w:val="00A912A4"/>
    <w:rsid w:val="00AA6734"/>
    <w:rsid w:val="00AB09A5"/>
    <w:rsid w:val="00AB57BB"/>
    <w:rsid w:val="00AB7067"/>
    <w:rsid w:val="00AB7788"/>
    <w:rsid w:val="00AC702A"/>
    <w:rsid w:val="00AE5D3C"/>
    <w:rsid w:val="00AF1507"/>
    <w:rsid w:val="00AF6F07"/>
    <w:rsid w:val="00B01504"/>
    <w:rsid w:val="00B02653"/>
    <w:rsid w:val="00B2351E"/>
    <w:rsid w:val="00B2741D"/>
    <w:rsid w:val="00B32862"/>
    <w:rsid w:val="00B328EA"/>
    <w:rsid w:val="00B4163F"/>
    <w:rsid w:val="00B42FDB"/>
    <w:rsid w:val="00B52DD2"/>
    <w:rsid w:val="00B63B9D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C7EB2"/>
    <w:rsid w:val="00BD23F8"/>
    <w:rsid w:val="00BD2F6C"/>
    <w:rsid w:val="00BD709D"/>
    <w:rsid w:val="00BE7C87"/>
    <w:rsid w:val="00BF0BC2"/>
    <w:rsid w:val="00BF4046"/>
    <w:rsid w:val="00BF63D8"/>
    <w:rsid w:val="00C06A22"/>
    <w:rsid w:val="00C12C06"/>
    <w:rsid w:val="00C12F20"/>
    <w:rsid w:val="00C17550"/>
    <w:rsid w:val="00C41D9B"/>
    <w:rsid w:val="00C45305"/>
    <w:rsid w:val="00C524FA"/>
    <w:rsid w:val="00C56C04"/>
    <w:rsid w:val="00C5728D"/>
    <w:rsid w:val="00CB09D7"/>
    <w:rsid w:val="00CC02BA"/>
    <w:rsid w:val="00CC13CC"/>
    <w:rsid w:val="00CC1DD8"/>
    <w:rsid w:val="00CC6298"/>
    <w:rsid w:val="00CE0CB3"/>
    <w:rsid w:val="00CE1144"/>
    <w:rsid w:val="00CF1265"/>
    <w:rsid w:val="00CF1A6E"/>
    <w:rsid w:val="00D20CBC"/>
    <w:rsid w:val="00D35E94"/>
    <w:rsid w:val="00D36BC7"/>
    <w:rsid w:val="00D51EDC"/>
    <w:rsid w:val="00D563FC"/>
    <w:rsid w:val="00D778F1"/>
    <w:rsid w:val="00D80062"/>
    <w:rsid w:val="00D80618"/>
    <w:rsid w:val="00D97A6E"/>
    <w:rsid w:val="00DA622D"/>
    <w:rsid w:val="00DB188F"/>
    <w:rsid w:val="00DB3556"/>
    <w:rsid w:val="00DC766D"/>
    <w:rsid w:val="00DD0711"/>
    <w:rsid w:val="00DD1C88"/>
    <w:rsid w:val="00DD2F03"/>
    <w:rsid w:val="00DD49D9"/>
    <w:rsid w:val="00DD706F"/>
    <w:rsid w:val="00DE2D6A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91C89"/>
    <w:rsid w:val="00E9636A"/>
    <w:rsid w:val="00EB7D1E"/>
    <w:rsid w:val="00EC3A7E"/>
    <w:rsid w:val="00F01D74"/>
    <w:rsid w:val="00F07763"/>
    <w:rsid w:val="00F11321"/>
    <w:rsid w:val="00F20A6C"/>
    <w:rsid w:val="00F35A6D"/>
    <w:rsid w:val="00F444FA"/>
    <w:rsid w:val="00F56100"/>
    <w:rsid w:val="00F6278F"/>
    <w:rsid w:val="00F64E45"/>
    <w:rsid w:val="00F71E41"/>
    <w:rsid w:val="00F83AA6"/>
    <w:rsid w:val="00F8534B"/>
    <w:rsid w:val="00F8609F"/>
    <w:rsid w:val="00F90EDB"/>
    <w:rsid w:val="00F948CA"/>
    <w:rsid w:val="00F94FC7"/>
    <w:rsid w:val="00F95269"/>
    <w:rsid w:val="00FA4515"/>
    <w:rsid w:val="00FA61C7"/>
    <w:rsid w:val="00FB44EC"/>
    <w:rsid w:val="00FB7792"/>
    <w:rsid w:val="00FC3B07"/>
    <w:rsid w:val="00FC4AD2"/>
    <w:rsid w:val="00FC7812"/>
    <w:rsid w:val="00FD15A5"/>
    <w:rsid w:val="00FD7679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table" w:styleId="Lentelstinklelis">
    <w:name w:val="Table Grid"/>
    <w:basedOn w:val="prastojilentel"/>
    <w:locked/>
    <w:rsid w:val="00CC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table" w:styleId="Lentelstinklelis">
    <w:name w:val="Table Grid"/>
    <w:basedOn w:val="prastojilentel"/>
    <w:locked/>
    <w:rsid w:val="00CC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8E51-8505-4397-BD37-B928378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2015-04-24T11:30:00Z</cp:lastPrinted>
  <dcterms:created xsi:type="dcterms:W3CDTF">2015-05-04T11:11:00Z</dcterms:created>
  <dcterms:modified xsi:type="dcterms:W3CDTF">2015-05-04T11:11:00Z</dcterms:modified>
</cp:coreProperties>
</file>