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4858D8">
        <w:rPr>
          <w:b/>
          <w:caps/>
        </w:rPr>
        <w:t xml:space="preserve">DĖL klaipėdos miesto pedagogų švietimo ir kultūros centro buveinės IR </w:t>
      </w:r>
      <w:r w:rsidR="004858D8">
        <w:rPr>
          <w:b/>
        </w:rPr>
        <w:t xml:space="preserve">KLAIPĖDOS MIESTO SAVIVALDYBĖS TARYBOS 2011 M. KOVO 17 D. SPRENDIMO NR. T2-66 „DĖL KLAIPĖDOS MIESTO PEDAGOGŲ ŠVIETIMO IR KULTŪROS CENTRO NUOSTATŲ PATVIRTINIMO“ </w:t>
      </w:r>
      <w:r w:rsidR="004858D8">
        <w:rPr>
          <w:b/>
          <w:caps/>
        </w:rPr>
        <w:t>pakeitimo</w:t>
      </w:r>
      <w:r w:rsidRPr="00E7448C">
        <w:rPr>
          <w:b/>
        </w:rPr>
        <w:t>“ PROJEKTO</w:t>
      </w:r>
    </w:p>
    <w:p w:rsidR="009D6C4C" w:rsidRDefault="009D6C4C" w:rsidP="00E15CD5">
      <w:pPr>
        <w:jc w:val="center"/>
        <w:rPr>
          <w:b/>
        </w:rPr>
      </w:pP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CC7756" w:rsidRDefault="00CC7756" w:rsidP="00CC7756">
      <w:pPr>
        <w:ind w:firstLine="720"/>
        <w:jc w:val="both"/>
      </w:pPr>
      <w:r>
        <w:t>S</w:t>
      </w:r>
      <w:r>
        <w:rPr>
          <w:color w:val="000000"/>
        </w:rPr>
        <w:t>prendimo projekto esmė – pakeisti Klaipėdos miesto pedagogų švietimo ir kultūros buveinę ir nuostatus</w:t>
      </w:r>
      <w:r>
        <w:t>. Tikslas – užtikrinti teisės aktų vykdymą. Uždavinys –</w:t>
      </w:r>
      <w:r w:rsidRPr="009E342C">
        <w:t xml:space="preserve"> </w:t>
      </w:r>
      <w:r w:rsidR="004101CB">
        <w:t xml:space="preserve">įteisinti naują </w:t>
      </w:r>
      <w:r>
        <w:t xml:space="preserve">biudžetinės švietimo įstaigos </w:t>
      </w:r>
      <w:r w:rsidR="004101CB">
        <w:t xml:space="preserve">buveinę ir </w:t>
      </w:r>
      <w:r>
        <w:t>nuostatų</w:t>
      </w:r>
      <w:r w:rsidRPr="009E342C">
        <w:t xml:space="preserve"> </w:t>
      </w:r>
      <w:r>
        <w:t>pakeitim</w:t>
      </w:r>
      <w:r w:rsidR="00906FBE">
        <w:t>ą</w:t>
      </w:r>
      <w:r>
        <w:t>.</w:t>
      </w: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F407E7" w:rsidRDefault="00CC7756" w:rsidP="001B594F">
      <w:pPr>
        <w:pStyle w:val="Pagrindinistekstas"/>
        <w:spacing w:after="0"/>
        <w:ind w:firstLine="709"/>
        <w:jc w:val="both"/>
      </w:pPr>
      <w:r w:rsidRPr="004B0BFC">
        <w:t xml:space="preserve">Šis sprendimo projektas parengtas, vykdant </w:t>
      </w:r>
      <w:r w:rsidRPr="004B0BFC">
        <w:rPr>
          <w:color w:val="000000"/>
        </w:rPr>
        <w:t>Klaipėdos švietimo įstaigų, įgyvendinančių ikimokyklinio ir priešmokyklinio ugdymo programas, 2015–2018 metų tinklo pertvarkos bendrojo plano, patvirtinto Klaipėdos miesto savivaldybės tarybos 2015 m. balandžio 16 d. sprendimu Nr.</w:t>
      </w:r>
      <w:r>
        <w:t> </w:t>
      </w:r>
      <w:r w:rsidR="00906FBE">
        <w:rPr>
          <w:color w:val="000000"/>
        </w:rPr>
        <w:t>T2–</w:t>
      </w:r>
      <w:r w:rsidRPr="004B0BFC">
        <w:rPr>
          <w:color w:val="000000"/>
        </w:rPr>
        <w:t xml:space="preserve">61, priedo </w:t>
      </w:r>
      <w:r w:rsidRPr="004B0BFC">
        <w:rPr>
          <w:noProof/>
        </w:rPr>
        <w:t>1.</w:t>
      </w:r>
      <w:r w:rsidR="00544C82">
        <w:rPr>
          <w:noProof/>
        </w:rPr>
        <w:t>4 papunktį.</w:t>
      </w:r>
      <w:r w:rsidRPr="004B0BFC">
        <w:rPr>
          <w:noProof/>
        </w:rPr>
        <w:t xml:space="preserve"> </w:t>
      </w:r>
      <w:r w:rsidR="00544C82">
        <w:rPr>
          <w:noProof/>
        </w:rPr>
        <w:t xml:space="preserve">Jame </w:t>
      </w:r>
      <w:r w:rsidR="00F407E7">
        <w:t xml:space="preserve">numatyta </w:t>
      </w:r>
      <w:r w:rsidR="00544C82">
        <w:t xml:space="preserve">įrengti 2 naujas grupes </w:t>
      </w:r>
      <w:r w:rsidR="009E06BB" w:rsidRPr="009E06BB">
        <w:rPr>
          <w:iCs/>
        </w:rPr>
        <w:t>(1 ikimokyklin</w:t>
      </w:r>
      <w:r w:rsidR="009E06BB">
        <w:rPr>
          <w:iCs/>
        </w:rPr>
        <w:t>ę</w:t>
      </w:r>
      <w:r w:rsidR="009E06BB" w:rsidRPr="009E06BB">
        <w:rPr>
          <w:iCs/>
        </w:rPr>
        <w:t xml:space="preserve"> ir 1 priešmokyklin</w:t>
      </w:r>
      <w:r w:rsidR="009E06BB">
        <w:rPr>
          <w:iCs/>
        </w:rPr>
        <w:t>ę</w:t>
      </w:r>
      <w:r w:rsidR="009E06BB" w:rsidRPr="009E06BB">
        <w:rPr>
          <w:iCs/>
        </w:rPr>
        <w:t>)</w:t>
      </w:r>
      <w:r w:rsidR="009E06BB">
        <w:rPr>
          <w:iCs/>
        </w:rPr>
        <w:t xml:space="preserve"> </w:t>
      </w:r>
      <w:r w:rsidR="00F407E7">
        <w:t>lopšel</w:t>
      </w:r>
      <w:r w:rsidR="009E06BB">
        <w:t>io</w:t>
      </w:r>
      <w:r w:rsidR="00F407E7">
        <w:t>-daržel</w:t>
      </w:r>
      <w:r w:rsidR="009E06BB">
        <w:t>io</w:t>
      </w:r>
      <w:r w:rsidR="00F407E7">
        <w:t xml:space="preserve"> „Obelėlė“ patalpose, </w:t>
      </w:r>
      <w:r w:rsidR="009E06BB" w:rsidRPr="009E06BB">
        <w:rPr>
          <w:iCs/>
        </w:rPr>
        <w:t xml:space="preserve">iškėlus </w:t>
      </w:r>
      <w:r w:rsidR="001A44E1">
        <w:rPr>
          <w:iCs/>
        </w:rPr>
        <w:t>Klaipėdos v</w:t>
      </w:r>
      <w:r w:rsidR="009E06BB" w:rsidRPr="009E06BB">
        <w:rPr>
          <w:iCs/>
        </w:rPr>
        <w:t>aikų laisvalaikio centro klubą „Žuvėdra“ į jo veiklai tinkančias patalpas</w:t>
      </w:r>
      <w:r w:rsidR="00F407E7">
        <w:t>. Klube</w:t>
      </w:r>
      <w:r w:rsidR="001A44E1">
        <w:t xml:space="preserve"> „Žuvėdr</w:t>
      </w:r>
      <w:r w:rsidR="001E7C3F">
        <w:t>a</w:t>
      </w:r>
      <w:r w:rsidR="001A44E1">
        <w:t>“</w:t>
      </w:r>
      <w:r w:rsidR="00F407E7">
        <w:t xml:space="preserve"> ugdoma apie 300 vaikų iš šiaurinės miesto dalies. </w:t>
      </w:r>
    </w:p>
    <w:p w:rsidR="00026313" w:rsidRDefault="00F407E7" w:rsidP="001B594F">
      <w:pPr>
        <w:pStyle w:val="Pagrindinistekstas"/>
        <w:spacing w:after="0"/>
        <w:ind w:firstLine="709"/>
        <w:jc w:val="both"/>
      </w:pPr>
      <w:r>
        <w:t>Išanalizavus visas galimybes, nuspręsta klubą</w:t>
      </w:r>
      <w:r w:rsidR="00D462A3">
        <w:t xml:space="preserve"> „Žuvėdra“</w:t>
      </w:r>
      <w:r>
        <w:t xml:space="preserve"> perkelti į Klaipėdos miesto pedagogų švietimo ir kultūros centro (toliau – Centras) pastatą</w:t>
      </w:r>
      <w:r w:rsidR="00906FBE">
        <w:t xml:space="preserve"> (adresu H</w:t>
      </w:r>
      <w:r w:rsidR="008D58D3">
        <w:t>erkaus</w:t>
      </w:r>
      <w:r w:rsidR="00906FBE">
        <w:t xml:space="preserve"> Manto g. 77, LT–92260 Klaipėda)</w:t>
      </w:r>
      <w:r>
        <w:t xml:space="preserve">, nes kitų, tinkančių klubo veiklai, patalpų šiaurinėje miesto dalyje nėra. Centro perkėlimui pasirinkta </w:t>
      </w:r>
      <w:r w:rsidR="00B53707">
        <w:t xml:space="preserve">Klaipėdos </w:t>
      </w:r>
      <w:r>
        <w:t>Baltijos gimnazija</w:t>
      </w:r>
      <w:r w:rsidR="00B53707">
        <w:t xml:space="preserve"> (adresu Baltijos pr. 51, LT–</w:t>
      </w:r>
      <w:r w:rsidR="00026313">
        <w:t>94127 Klaipėda),</w:t>
      </w:r>
      <w:r>
        <w:t xml:space="preserve"> kadangi ji yra miesto geografiniame centre ir gali perduoti tiek patalpų, kiek reikėtų Centro optimaliam funkcionavimui. 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953CAA" w:rsidRPr="00EE49CB" w:rsidRDefault="00953CAA" w:rsidP="00953CA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bCs/>
        </w:rPr>
      </w:pPr>
      <w:r w:rsidRPr="00EE49CB">
        <w:t xml:space="preserve">Šiuo sprendimo projektu </w:t>
      </w:r>
      <w:r>
        <w:t xml:space="preserve">įteisinamas naujasis Centro adresas ir su tuo </w:t>
      </w:r>
      <w:r w:rsidR="00472D23">
        <w:t>su</w:t>
      </w:r>
      <w:r>
        <w:t>sijęs Centro nuostatų 6 punkto pakeitimas.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>Neigiamų vertinimų negauta.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C7756" w:rsidRDefault="00CC7756" w:rsidP="00CC7756">
      <w:pPr>
        <w:ind w:firstLine="720"/>
        <w:jc w:val="both"/>
      </w:pPr>
      <w:r>
        <w:rPr>
          <w:bCs/>
        </w:rPr>
        <w:t>Nėra.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CC7756" w:rsidRDefault="005B0AD9" w:rsidP="00CC7756">
      <w:pPr>
        <w:ind w:firstLine="720"/>
        <w:jc w:val="both"/>
        <w:rPr>
          <w:bCs/>
        </w:rPr>
      </w:pPr>
      <w:r>
        <w:rPr>
          <w:bCs/>
        </w:rPr>
        <w:t>Papildomų lėšų nereikia, nes</w:t>
      </w:r>
      <w:r w:rsidR="00CC7756" w:rsidRPr="002D3CF3">
        <w:rPr>
          <w:bCs/>
        </w:rPr>
        <w:t xml:space="preserve"> </w:t>
      </w:r>
      <w:r w:rsidR="00742D7C">
        <w:rPr>
          <w:bCs/>
        </w:rPr>
        <w:t>Centro naujų patalpų</w:t>
      </w:r>
      <w:r w:rsidR="00CC7756" w:rsidRPr="002D3CF3">
        <w:rPr>
          <w:bCs/>
        </w:rPr>
        <w:t xml:space="preserve"> </w:t>
      </w:r>
      <w:r w:rsidR="00742D7C">
        <w:rPr>
          <w:bCs/>
        </w:rPr>
        <w:t xml:space="preserve">pritaikymui numatyta </w:t>
      </w:r>
      <w:r w:rsidR="00CC7756" w:rsidRPr="002D3CF3">
        <w:rPr>
          <w:bCs/>
        </w:rPr>
        <w:t>skirt</w:t>
      </w:r>
      <w:r w:rsidR="00742D7C">
        <w:rPr>
          <w:bCs/>
        </w:rPr>
        <w:t>i</w:t>
      </w:r>
      <w:r w:rsidR="00CC7756" w:rsidRPr="002D3CF3">
        <w:rPr>
          <w:bCs/>
        </w:rPr>
        <w:t xml:space="preserve"> </w:t>
      </w:r>
      <w:r w:rsidR="0023237C">
        <w:rPr>
          <w:bCs/>
        </w:rPr>
        <w:t>30,0 tūkst. eurų</w:t>
      </w:r>
      <w:r w:rsidR="00742D7C">
        <w:rPr>
          <w:bCs/>
        </w:rPr>
        <w:t>. Iš šių lėšų Centras</w:t>
      </w:r>
      <w:r w:rsidR="00CC7756" w:rsidRPr="002D3CF3">
        <w:rPr>
          <w:bCs/>
        </w:rPr>
        <w:t xml:space="preserve"> padengs išlaidas, susijusias su </w:t>
      </w:r>
      <w:r w:rsidR="00742D7C">
        <w:t>buveinės</w:t>
      </w:r>
      <w:r w:rsidR="00742D7C" w:rsidRPr="00551C99">
        <w:t xml:space="preserve"> </w:t>
      </w:r>
      <w:r w:rsidR="00742D7C">
        <w:t xml:space="preserve">ir nuostatų </w:t>
      </w:r>
      <w:r w:rsidR="00742D7C" w:rsidRPr="00551C99">
        <w:t>pakeitimu</w:t>
      </w:r>
      <w:r w:rsidR="00742D7C">
        <w:rPr>
          <w:bCs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 xml:space="preserve">Šio sprendimo projekto teigiamos pasekmės: </w:t>
      </w:r>
      <w:r w:rsidRPr="003D3533">
        <w:t xml:space="preserve">bus planingai įgyvendinamas Klaipėdos </w:t>
      </w:r>
      <w:r w:rsidRPr="004B0BFC">
        <w:rPr>
          <w:color w:val="000000"/>
        </w:rPr>
        <w:t xml:space="preserve">švietimo įstaigų, įgyvendinančių ikimokyklinio ir priešmokyklinio ugdymo programas, </w:t>
      </w:r>
      <w:r w:rsidRPr="003D3533">
        <w:t xml:space="preserve">tinklo pertvarkos </w:t>
      </w:r>
      <w:r>
        <w:t xml:space="preserve">bendrasis </w:t>
      </w:r>
      <w:r w:rsidRPr="003D3533">
        <w:t>planas; bus užtikrinamas teisės aktų vykdymas</w:t>
      </w:r>
      <w:r w:rsidRPr="003D3533">
        <w:rPr>
          <w:color w:val="000000"/>
        </w:rPr>
        <w:t xml:space="preserve"> </w:t>
      </w:r>
      <w:r>
        <w:t>ir ugdymo prieinamumas</w:t>
      </w:r>
      <w:r w:rsidRPr="003D3533">
        <w:t xml:space="preserve">; bus </w:t>
      </w:r>
      <w:r>
        <w:t xml:space="preserve">sudaryta galimybė padidinti priešmokyklinio </w:t>
      </w:r>
      <w:r w:rsidR="00AE5EB6">
        <w:t xml:space="preserve">ir ikimokyklinio </w:t>
      </w:r>
      <w:proofErr w:type="spellStart"/>
      <w:r>
        <w:t>ugdymo(si</w:t>
      </w:r>
      <w:proofErr w:type="spellEnd"/>
      <w:r>
        <w:t>) vietų skaiči</w:t>
      </w:r>
      <w:r w:rsidR="00AE5EB6">
        <w:t xml:space="preserve">ų šiaurinėje miesto dalyje; bus </w:t>
      </w:r>
      <w:r w:rsidRPr="003D3533">
        <w:t xml:space="preserve"> </w:t>
      </w:r>
      <w:r w:rsidR="00AE5EB6">
        <w:t>plėtojamas neformalusis vaikų švietimas bei toliau vykdomas miesto pedagogų kvalifikacijos tobulinimas ir kultūrinis bendradarbiavimas</w:t>
      </w:r>
      <w:r w:rsidR="005B0AD9">
        <w:t>.</w:t>
      </w:r>
    </w:p>
    <w:p w:rsidR="00CC7756" w:rsidRPr="003D3533" w:rsidRDefault="00CC7756" w:rsidP="00CC7756">
      <w:pPr>
        <w:ind w:firstLine="720"/>
        <w:jc w:val="both"/>
        <w:rPr>
          <w:b/>
        </w:rPr>
      </w:pPr>
      <w:r w:rsidRPr="003D3533">
        <w:t>Neigiamų pasekmių nenumatoma.</w:t>
      </w:r>
    </w:p>
    <w:p w:rsidR="00CC7756" w:rsidRDefault="00CC7756" w:rsidP="00CC7756">
      <w:pPr>
        <w:ind w:firstLine="720"/>
        <w:rPr>
          <w:b/>
        </w:rPr>
      </w:pPr>
    </w:p>
    <w:p w:rsidR="00CC7756" w:rsidRDefault="00CC7756" w:rsidP="00CC7756">
      <w:pPr>
        <w:ind w:firstLine="720"/>
        <w:rPr>
          <w:b/>
        </w:rPr>
      </w:pPr>
      <w:r>
        <w:rPr>
          <w:b/>
        </w:rPr>
        <w:t>PRIDEDAMA:</w:t>
      </w:r>
    </w:p>
    <w:p w:rsidR="00CC7756" w:rsidRPr="006C0F50" w:rsidRDefault="00CC7756" w:rsidP="00CC77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sprendimo projekto įžangoje, išrašas, 1 lapas.</w:t>
      </w:r>
    </w:p>
    <w:p w:rsidR="00CC7756" w:rsidRPr="004078F2" w:rsidRDefault="004078F2" w:rsidP="00CC77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4078F2">
        <w:rPr>
          <w:sz w:val="24"/>
          <w:szCs w:val="24"/>
        </w:rPr>
        <w:t>Klaipėdos miesto pedagogų švietimo ir kultūros centro nuostatų, patvirtintų Klaipėdos miesto savivaldybės tarybos 2011</w:t>
      </w:r>
      <w:r w:rsidR="005B0AD9">
        <w:rPr>
          <w:sz w:val="24"/>
          <w:szCs w:val="24"/>
        </w:rPr>
        <w:t xml:space="preserve"> m. kovo 17 d. sprendimu Nr. T2–</w:t>
      </w:r>
      <w:r w:rsidRPr="004078F2">
        <w:rPr>
          <w:sz w:val="24"/>
          <w:szCs w:val="24"/>
        </w:rPr>
        <w:t>66 „Dėl Klaipėdos miesto pedagogų švietimo ir kultūros centro nuostatų patvirtinimo“</w:t>
      </w:r>
      <w:r>
        <w:rPr>
          <w:sz w:val="24"/>
          <w:szCs w:val="24"/>
        </w:rPr>
        <w:t>,</w:t>
      </w:r>
      <w:r w:rsidRPr="004078F2">
        <w:rPr>
          <w:sz w:val="24"/>
          <w:szCs w:val="24"/>
        </w:rPr>
        <w:t xml:space="preserve"> </w:t>
      </w:r>
      <w:r w:rsidR="00ED530D">
        <w:rPr>
          <w:sz w:val="24"/>
          <w:szCs w:val="24"/>
        </w:rPr>
        <w:t>lyginamasis variantas, 5</w:t>
      </w:r>
      <w:r w:rsidR="00CC7756" w:rsidRPr="004078F2">
        <w:rPr>
          <w:sz w:val="24"/>
          <w:szCs w:val="24"/>
        </w:rPr>
        <w:t xml:space="preserve"> lap</w:t>
      </w:r>
      <w:r w:rsidR="00ED530D">
        <w:rPr>
          <w:sz w:val="24"/>
          <w:szCs w:val="24"/>
        </w:rPr>
        <w:t>ai</w:t>
      </w:r>
      <w:r w:rsidR="00CC7756" w:rsidRPr="004078F2">
        <w:rPr>
          <w:sz w:val="24"/>
          <w:szCs w:val="24"/>
        </w:rPr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26313"/>
    <w:rsid w:val="00037868"/>
    <w:rsid w:val="0006079E"/>
    <w:rsid w:val="0011058B"/>
    <w:rsid w:val="00122CF7"/>
    <w:rsid w:val="0016238A"/>
    <w:rsid w:val="001707A8"/>
    <w:rsid w:val="00171E4D"/>
    <w:rsid w:val="0017748C"/>
    <w:rsid w:val="00180C7F"/>
    <w:rsid w:val="001874E4"/>
    <w:rsid w:val="001878CE"/>
    <w:rsid w:val="00195CE2"/>
    <w:rsid w:val="001A44E1"/>
    <w:rsid w:val="001B594F"/>
    <w:rsid w:val="001C279C"/>
    <w:rsid w:val="001D3A15"/>
    <w:rsid w:val="001D5D46"/>
    <w:rsid w:val="001E7C3F"/>
    <w:rsid w:val="0023237C"/>
    <w:rsid w:val="00277842"/>
    <w:rsid w:val="002F0BB7"/>
    <w:rsid w:val="00343B61"/>
    <w:rsid w:val="00356B67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858D8"/>
    <w:rsid w:val="004949A2"/>
    <w:rsid w:val="004A0D08"/>
    <w:rsid w:val="004A6212"/>
    <w:rsid w:val="004D7A02"/>
    <w:rsid w:val="00507FC3"/>
    <w:rsid w:val="0053660E"/>
    <w:rsid w:val="00544C82"/>
    <w:rsid w:val="00582681"/>
    <w:rsid w:val="00592B82"/>
    <w:rsid w:val="00597EE8"/>
    <w:rsid w:val="005B0AD9"/>
    <w:rsid w:val="005F495C"/>
    <w:rsid w:val="006434EF"/>
    <w:rsid w:val="00690DF6"/>
    <w:rsid w:val="006B5ADD"/>
    <w:rsid w:val="006C74E4"/>
    <w:rsid w:val="006D06CB"/>
    <w:rsid w:val="00727ED2"/>
    <w:rsid w:val="00742D7C"/>
    <w:rsid w:val="00766522"/>
    <w:rsid w:val="00780500"/>
    <w:rsid w:val="007A196C"/>
    <w:rsid w:val="007B483F"/>
    <w:rsid w:val="007E6AAD"/>
    <w:rsid w:val="00806D3F"/>
    <w:rsid w:val="00827227"/>
    <w:rsid w:val="008354D5"/>
    <w:rsid w:val="0084312F"/>
    <w:rsid w:val="0084632D"/>
    <w:rsid w:val="00881BA6"/>
    <w:rsid w:val="00884514"/>
    <w:rsid w:val="008A5DFC"/>
    <w:rsid w:val="008D58D3"/>
    <w:rsid w:val="008E6E82"/>
    <w:rsid w:val="008F17EC"/>
    <w:rsid w:val="00906FBE"/>
    <w:rsid w:val="00945FE9"/>
    <w:rsid w:val="00953CAA"/>
    <w:rsid w:val="00962B41"/>
    <w:rsid w:val="00971414"/>
    <w:rsid w:val="0097729C"/>
    <w:rsid w:val="009A0D50"/>
    <w:rsid w:val="009A2EFF"/>
    <w:rsid w:val="009D3B4E"/>
    <w:rsid w:val="009D455B"/>
    <w:rsid w:val="009D6C4C"/>
    <w:rsid w:val="009E06BB"/>
    <w:rsid w:val="009F7422"/>
    <w:rsid w:val="00A06545"/>
    <w:rsid w:val="00A1730C"/>
    <w:rsid w:val="00A26D51"/>
    <w:rsid w:val="00A750CB"/>
    <w:rsid w:val="00A76D3F"/>
    <w:rsid w:val="00A800A6"/>
    <w:rsid w:val="00AA3D1E"/>
    <w:rsid w:val="00AA5895"/>
    <w:rsid w:val="00AA7015"/>
    <w:rsid w:val="00AC6C17"/>
    <w:rsid w:val="00AE5EB6"/>
    <w:rsid w:val="00AF664E"/>
    <w:rsid w:val="00AF7D08"/>
    <w:rsid w:val="00B53707"/>
    <w:rsid w:val="00B601A0"/>
    <w:rsid w:val="00B750B6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D462A3"/>
    <w:rsid w:val="00D52DB2"/>
    <w:rsid w:val="00D57786"/>
    <w:rsid w:val="00D802AC"/>
    <w:rsid w:val="00D91676"/>
    <w:rsid w:val="00DB2AA7"/>
    <w:rsid w:val="00DB6A40"/>
    <w:rsid w:val="00DC1EC8"/>
    <w:rsid w:val="00DE69BB"/>
    <w:rsid w:val="00E15CD5"/>
    <w:rsid w:val="00E33871"/>
    <w:rsid w:val="00E4786A"/>
    <w:rsid w:val="00E51AD0"/>
    <w:rsid w:val="00E7448C"/>
    <w:rsid w:val="00ED530D"/>
    <w:rsid w:val="00F01385"/>
    <w:rsid w:val="00F407E7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2015-06-18T07:38:00Z</dcterms:created>
  <dcterms:modified xsi:type="dcterms:W3CDTF">2015-06-18T07:38:00Z</dcterms:modified>
</cp:coreProperties>
</file>