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DF" w:rsidRDefault="00770EC7">
      <w:pPr>
        <w:pStyle w:val="Antrat3"/>
      </w:pPr>
      <w:bookmarkStart w:id="0" w:name="_GoBack"/>
      <w:bookmarkEnd w:id="0"/>
      <w:r>
        <w:t>AIŠKINAMASIS RAŠTAS</w:t>
      </w:r>
    </w:p>
    <w:p w:rsidR="001F0ADF" w:rsidRDefault="00770EC7">
      <w:pPr>
        <w:jc w:val="center"/>
      </w:pPr>
      <w:r>
        <w:rPr>
          <w:b/>
        </w:rPr>
        <w:t>PRIE SAVIVALDYBĖS TARYBOS SPRENDIMO</w:t>
      </w:r>
      <w:r>
        <w:t xml:space="preserve"> „</w:t>
      </w:r>
      <w:r>
        <w:rPr>
          <w:b/>
          <w:szCs w:val="20"/>
        </w:rPr>
        <w:t>DĖL KLAIPĖDOS MIESTO SAVIVALDYBĖS PRIVATIZAVIMO FONDO 2014 METŲ</w:t>
      </w:r>
    </w:p>
    <w:p w:rsidR="001F0ADF" w:rsidRDefault="00770EC7">
      <w:pPr>
        <w:pStyle w:val="Antrat3"/>
      </w:pPr>
      <w:r>
        <w:rPr>
          <w:lang w:eastAsia="lt-LT"/>
        </w:rPr>
        <w:t>LĖŠŲ PANAUDOJIMO ATASKAITOS PATVIRTINIMO</w:t>
      </w:r>
      <w:r>
        <w:rPr>
          <w:szCs w:val="24"/>
        </w:rPr>
        <w:t>“ PROJEKTO</w:t>
      </w:r>
    </w:p>
    <w:p w:rsidR="001F0ADF" w:rsidRDefault="001F0ADF">
      <w:pPr>
        <w:jc w:val="center"/>
      </w:pPr>
    </w:p>
    <w:p w:rsidR="001F0ADF" w:rsidRDefault="00504CD3">
      <w:pPr>
        <w:jc w:val="center"/>
      </w:pPr>
      <w:r>
        <w:t>2015 m. liepos 15</w:t>
      </w:r>
      <w:r w:rsidR="00770EC7">
        <w:t xml:space="preserve"> d.</w:t>
      </w:r>
    </w:p>
    <w:p w:rsidR="001F0ADF" w:rsidRDefault="001F0ADF">
      <w:pPr>
        <w:jc w:val="center"/>
        <w:rPr>
          <w:sz w:val="18"/>
          <w:szCs w:val="18"/>
        </w:rPr>
      </w:pPr>
    </w:p>
    <w:p w:rsidR="001F0ADF" w:rsidRDefault="00770EC7">
      <w:pPr>
        <w:pStyle w:val="TextBody"/>
        <w:ind w:firstLine="567"/>
        <w:rPr>
          <w:b/>
          <w:bCs/>
        </w:rPr>
      </w:pPr>
      <w:r>
        <w:rPr>
          <w:b/>
          <w:bCs/>
        </w:rPr>
        <w:t>1. Sprendimo projekto esmė, tikslai ir uždaviniai.</w:t>
      </w:r>
    </w:p>
    <w:p w:rsidR="001F0ADF" w:rsidRDefault="00770EC7">
      <w:pPr>
        <w:ind w:firstLine="567"/>
        <w:jc w:val="both"/>
        <w:outlineLvl w:val="0"/>
      </w:pPr>
      <w:r>
        <w:t>Sprendimo esmė – patvirtinti Klaipėdos miesto savivaldybės Privatizavimo fondo 2014 metų lėšų panaudojimo ataskaitą.</w:t>
      </w:r>
    </w:p>
    <w:p w:rsidR="001F0ADF" w:rsidRDefault="00770EC7">
      <w:pPr>
        <w:tabs>
          <w:tab w:val="left" w:pos="540"/>
        </w:tabs>
        <w:ind w:firstLine="567"/>
        <w:jc w:val="both"/>
        <w:rPr>
          <w:b/>
        </w:rPr>
      </w:pPr>
      <w:r>
        <w:rPr>
          <w:b/>
        </w:rPr>
        <w:t xml:space="preserve">2. Projekto rengimą paskatinusios priežastys ir kuo remiantis parengtas sprendimo projektas. </w:t>
      </w:r>
    </w:p>
    <w:p w:rsidR="001F0ADF" w:rsidRDefault="00770EC7">
      <w:pPr>
        <w:pStyle w:val="Antrats"/>
        <w:ind w:firstLine="567"/>
        <w:jc w:val="both"/>
        <w:rPr>
          <w:szCs w:val="24"/>
        </w:rPr>
      </w:pPr>
      <w:r>
        <w:rPr>
          <w:szCs w:val="24"/>
        </w:rPr>
        <w:t xml:space="preserve">Vadovaujantis Klaipėdos miesto savivaldybės tarybos 2012-02-28 sprendimu Nr.T2-37 „Dėl Klaipėdos miesto savivaldybės privatizavimo fondo lėšų naudojimo tvarkos aprašo patvirtinimo“ patvirtinto Klaipėdos miesto savivaldybės privatizavimo fondo lėšų naudojimo tvarkos aprašo 8 punktu, savivaldybės taryba tvirtina metinę fondo lėšų panaudojimo ataskaitą. </w:t>
      </w:r>
    </w:p>
    <w:p w:rsidR="001F0ADF" w:rsidRDefault="00770EC7">
      <w:pPr>
        <w:pStyle w:val="Antrats"/>
        <w:ind w:firstLine="567"/>
        <w:jc w:val="both"/>
      </w:pPr>
      <w:r>
        <w:rPr>
          <w:szCs w:val="24"/>
        </w:rPr>
        <w:t>Savivaldybės privatizavimo fondo 2014 metų sąmata patvirtinta Klaipėdos miesto savivaldybės tarybos 2014-02-13 sprendimu Nr. T2-27. Privatizavimo fondo lėšų likutis 2014-01-01 buvo 511,7 tūkst. litų, pajamos už privatizuojamus objektus neplanuotos, nes nebuvo pasirašyta privatizavimo sutarčių.</w:t>
      </w:r>
    </w:p>
    <w:p w:rsidR="001F0ADF" w:rsidRDefault="00770EC7">
      <w:pPr>
        <w:pStyle w:val="Antrats"/>
        <w:ind w:firstLine="567"/>
        <w:jc w:val="both"/>
        <w:rPr>
          <w:szCs w:val="24"/>
        </w:rPr>
      </w:pPr>
      <w:r>
        <w:rPr>
          <w:szCs w:val="24"/>
        </w:rPr>
        <w:t>Turto skyriui pateikus informaciją apie pasirašytas privatizavimo sutartis (už 2138,4 tūkst. Lt) bei asignavimų valdytojams pateikus paraiškas dėl papildomų asignavimų (1921,4 tūkst. Lt) skyrimo, 2014 m. Privatizavimo fondo sąmata buvo patikslinta du kartus (Klaipėdos miesto savivaldybės tarybos 2014-07-31 sprendimas Nr. T2-163 ir 2014-10-23 sprendimas Nr. T2-250).</w:t>
      </w:r>
    </w:p>
    <w:p w:rsidR="001F0ADF" w:rsidRDefault="00770EC7">
      <w:pPr>
        <w:pStyle w:val="Antrats"/>
        <w:ind w:firstLine="567"/>
        <w:jc w:val="both"/>
        <w:rPr>
          <w:szCs w:val="24"/>
        </w:rPr>
      </w:pPr>
      <w:r>
        <w:rPr>
          <w:szCs w:val="24"/>
        </w:rPr>
        <w:t>Privatizavimo fondo lėšų panaudojimo ataskaita parengta pagal Turto skyriaus pateiktą informaciją apie 2014 m. pasirašytas privatizuojamų objektų pirkimo–pardavimo sutartis (15) ir asignavimų valdytojų paaiškinimus dėl skirtų asignavimų panaudojimo.</w:t>
      </w:r>
    </w:p>
    <w:p w:rsidR="001F0ADF" w:rsidRDefault="00770EC7">
      <w:pPr>
        <w:ind w:firstLine="720"/>
        <w:jc w:val="both"/>
      </w:pPr>
      <w:r>
        <w:rPr>
          <w:szCs w:val="20"/>
        </w:rPr>
        <w:t>2014 metais faktiškai gauta 3160,1 tūkst. Lt arba 1021,7 tūkst. Lt daugiau nei planuota, iš jų: 33,7 tūkst. Lt kitų pajamų (banko palūkanos, privatizuojamų objektų registracijos mokesčiai,</w:t>
      </w:r>
      <w:r>
        <w:t xml:space="preserve"> </w:t>
      </w:r>
      <w:r>
        <w:rPr>
          <w:szCs w:val="20"/>
        </w:rPr>
        <w:t>fizinio asmens pradinis įnašas už privatizuojamą turtą neįvykdžius įsipareigojimų pagal sutartį,  gauti mokėjimai pagal teismo nutartį) ir 988,0 tūkst. Lt neplanuotų pajamų už privatizuojamus objektus, iš jų:</w:t>
      </w:r>
    </w:p>
    <w:p w:rsidR="001F0ADF" w:rsidRDefault="00770EC7">
      <w:pPr>
        <w:ind w:firstLine="720"/>
        <w:rPr>
          <w:szCs w:val="20"/>
        </w:rPr>
      </w:pPr>
      <w:r>
        <w:rPr>
          <w:szCs w:val="20"/>
        </w:rPr>
        <w:t xml:space="preserve">52,0 tūkst. Lt – už 108,42 kv. m ploto sandėliavimo patalpas, esančias Sandėlių g. 16-3, Klaipėdoje;                                                  </w:t>
      </w:r>
    </w:p>
    <w:p w:rsidR="001F0ADF" w:rsidRDefault="00770EC7">
      <w:pPr>
        <w:ind w:firstLine="720"/>
        <w:rPr>
          <w:szCs w:val="20"/>
        </w:rPr>
      </w:pPr>
      <w:r>
        <w:rPr>
          <w:szCs w:val="20"/>
        </w:rPr>
        <w:t xml:space="preserve">46,4 tūkst. Lt – už pastatą–sandėlį (60,00 kv. m.), esantį Stoties g. 10A, Klaipėdoje;                                                 </w:t>
      </w:r>
    </w:p>
    <w:p w:rsidR="001F0ADF" w:rsidRDefault="00770EC7">
      <w:pPr>
        <w:ind w:firstLine="720"/>
        <w:rPr>
          <w:szCs w:val="20"/>
          <w:shd w:val="clear" w:color="auto" w:fill="FFFF00"/>
        </w:rPr>
      </w:pPr>
      <w:r>
        <w:rPr>
          <w:szCs w:val="20"/>
        </w:rPr>
        <w:t>889,6 tūkst. Lt už 22,57 proc. UAB „Klaipėdos Viktorija“ akcijų paketą.</w:t>
      </w:r>
    </w:p>
    <w:p w:rsidR="001F0ADF" w:rsidRDefault="00770EC7">
      <w:pPr>
        <w:ind w:firstLine="720"/>
        <w:rPr>
          <w:szCs w:val="20"/>
        </w:rPr>
      </w:pPr>
      <w:r>
        <w:rPr>
          <w:szCs w:val="20"/>
        </w:rPr>
        <w:t>Gautos visos planuotos pajamos (2138,4 tūkst. Lt) už privatizuojamus objektus, iš jų:</w:t>
      </w:r>
    </w:p>
    <w:p w:rsidR="001F0ADF" w:rsidRDefault="00770EC7">
      <w:pPr>
        <w:pStyle w:val="Antrats"/>
        <w:ind w:firstLine="567"/>
        <w:jc w:val="both"/>
      </w:pPr>
      <w:r>
        <w:t xml:space="preserve">  851,0 tūkst. Lt už 70,36 proc. UAB „Klaipėdos bendrabutis“ akcijų paketą;</w:t>
      </w:r>
    </w:p>
    <w:p w:rsidR="001F0ADF" w:rsidRDefault="00770EC7">
      <w:pPr>
        <w:pStyle w:val="Antrats"/>
        <w:ind w:firstLine="567"/>
        <w:jc w:val="both"/>
      </w:pPr>
      <w:r>
        <w:t xml:space="preserve">  426,0 tūkst. Lt už 181,19 kv. m. negyvenamąją patalpą – vaistinę, esančią Turgaus g. 19-1, Klaipėdoje;</w:t>
      </w:r>
    </w:p>
    <w:p w:rsidR="001F0ADF" w:rsidRDefault="00770EC7">
      <w:pPr>
        <w:pStyle w:val="Antrats"/>
        <w:ind w:firstLine="567"/>
        <w:jc w:val="both"/>
      </w:pPr>
      <w:r>
        <w:t xml:space="preserve">  130,0 tūkst. Lt už 404,15 kv. m. pastatą – gyvenamąjį namą, esantį Nemuno g. 41, Klaipėdoje;</w:t>
      </w:r>
    </w:p>
    <w:p w:rsidR="001F0ADF" w:rsidRDefault="00770EC7">
      <w:pPr>
        <w:pStyle w:val="Antrats"/>
        <w:ind w:firstLine="567"/>
        <w:jc w:val="both"/>
      </w:pPr>
      <w:r>
        <w:t xml:space="preserve">  82,6 tūkst. Lt už 52,99 kv. m. gyvenamąjį namą, esantį Varnėnų g. 3, Klaipėdoje;</w:t>
      </w:r>
    </w:p>
    <w:p w:rsidR="001F0ADF" w:rsidRDefault="00770EC7">
      <w:pPr>
        <w:pStyle w:val="Antrats"/>
        <w:ind w:firstLine="567"/>
        <w:jc w:val="both"/>
      </w:pPr>
      <w:r>
        <w:t xml:space="preserve">  80,1 tūkst. Lt už 107,15 kv. administracines patalpas, esančias Liepojos g. 10A-5, Klaipėdoje;                                                                           </w:t>
      </w:r>
    </w:p>
    <w:p w:rsidR="001F0ADF" w:rsidRDefault="00770EC7">
      <w:pPr>
        <w:pStyle w:val="Antrats"/>
        <w:ind w:firstLine="567"/>
        <w:jc w:val="both"/>
      </w:pPr>
      <w:r>
        <w:t xml:space="preserve">  46,2 tūkst. Lt už 24,99 kv. m. negyvenamąją patalpą – kirpyklą, esančią Galinio Pylimo g. 20A-8, Klaipėdoje;</w:t>
      </w:r>
    </w:p>
    <w:p w:rsidR="001F0ADF" w:rsidRDefault="00770EC7">
      <w:pPr>
        <w:pStyle w:val="Antrats"/>
        <w:ind w:firstLine="567"/>
        <w:jc w:val="both"/>
      </w:pPr>
      <w:r>
        <w:t xml:space="preserve">  23,3 tūkst. Lt už 37,79 kv. m. negyvenamąją patalpą – administracinę patalpą, esančią Jaunimo g. 4-32, Klaipėdoje;</w:t>
      </w:r>
    </w:p>
    <w:p w:rsidR="001F0ADF" w:rsidRDefault="00770EC7">
      <w:pPr>
        <w:pStyle w:val="Antrats"/>
        <w:ind w:firstLine="567"/>
        <w:jc w:val="both"/>
      </w:pPr>
      <w:r>
        <w:t xml:space="preserve">  17,6 tūkst. Lt už 208,82 kv. m. negyvenamąją patalpą – pagalbinę patalpą, esančią Minijos g. 147-1, Klaipėdoje;                                                                                   </w:t>
      </w:r>
    </w:p>
    <w:p w:rsidR="001F0ADF" w:rsidRDefault="00770EC7">
      <w:pPr>
        <w:pStyle w:val="Antrats"/>
        <w:ind w:firstLine="567"/>
        <w:jc w:val="both"/>
      </w:pPr>
      <w:r>
        <w:t xml:space="preserve">  10,1 tūkst. Lt už 29,81 kv. m. negyvenamąją patalpą – remonto dirbtuves, esančias Sulupės g. 11-431, Klaipėdoje;</w:t>
      </w:r>
    </w:p>
    <w:p w:rsidR="001F0ADF" w:rsidRDefault="00770EC7">
      <w:pPr>
        <w:pStyle w:val="Antrats"/>
        <w:ind w:firstLine="567"/>
        <w:jc w:val="both"/>
      </w:pPr>
      <w:r>
        <w:lastRenderedPageBreak/>
        <w:t xml:space="preserve">  206,2 tūkst. Lt už 44,47/47,96/36,67 kv. m. bendro ploto butus, esančius Puodžių g. 25-3/5/7, Klaipėdoje;</w:t>
      </w:r>
    </w:p>
    <w:p w:rsidR="001F0ADF" w:rsidRDefault="00770EC7">
      <w:pPr>
        <w:pStyle w:val="Antrats"/>
        <w:ind w:firstLine="567"/>
        <w:jc w:val="both"/>
      </w:pPr>
      <w:r>
        <w:t xml:space="preserve">   140,1 tūkst. Lt už 80,05 kv. m. administracines patalpas, esančias Liepų g. 51-6, Klaipėdoje;</w:t>
      </w:r>
    </w:p>
    <w:p w:rsidR="001F0ADF" w:rsidRDefault="00770EC7">
      <w:pPr>
        <w:pStyle w:val="Antrats"/>
        <w:ind w:firstLine="567"/>
        <w:jc w:val="both"/>
      </w:pPr>
      <w:r>
        <w:t xml:space="preserve">   125,2 tūkst. Lt už 275,35 kv. m. pastatą–pirminės sveikatos priežiūros centrą, esantį Švyturio g. 6A, Klaipėdoje.</w:t>
      </w:r>
    </w:p>
    <w:p w:rsidR="001F0ADF" w:rsidRDefault="00770EC7">
      <w:pPr>
        <w:ind w:firstLine="709"/>
        <w:jc w:val="both"/>
        <w:rPr>
          <w:szCs w:val="20"/>
        </w:rPr>
      </w:pPr>
      <w:r>
        <w:rPr>
          <w:szCs w:val="20"/>
        </w:rPr>
        <w:t xml:space="preserve"> Asignavimų iš</w:t>
      </w:r>
      <w:r w:rsidR="001D08F4">
        <w:rPr>
          <w:szCs w:val="20"/>
        </w:rPr>
        <w:t xml:space="preserve"> Privatizavimo fondo planas 2014</w:t>
      </w:r>
      <w:r>
        <w:rPr>
          <w:szCs w:val="20"/>
        </w:rPr>
        <w:t xml:space="preserve"> metams – 2378,2 tūkst. Lt, panaudota 2244,8 tūkst. Lt, nepanaudota 133,4 tūkst. Lt, iš jų:</w:t>
      </w:r>
    </w:p>
    <w:p w:rsidR="001F0ADF" w:rsidRDefault="00770EC7">
      <w:pPr>
        <w:ind w:firstLine="709"/>
        <w:jc w:val="both"/>
        <w:rPr>
          <w:szCs w:val="20"/>
        </w:rPr>
      </w:pPr>
      <w:r>
        <w:rPr>
          <w:szCs w:val="20"/>
        </w:rPr>
        <w:t xml:space="preserve"> 0,9 tūkst. Lt – privatizuojamų objektų programoms rengti ir objektams parduoti dėl mažesnio lėšų poreikio nei planuota;</w:t>
      </w:r>
    </w:p>
    <w:p w:rsidR="001F0ADF" w:rsidRDefault="00770EC7">
      <w:pPr>
        <w:ind w:firstLine="709"/>
        <w:jc w:val="both"/>
        <w:rPr>
          <w:szCs w:val="20"/>
        </w:rPr>
      </w:pPr>
      <w:r>
        <w:rPr>
          <w:szCs w:val="20"/>
        </w:rPr>
        <w:t xml:space="preserve"> 46,7 tūkst. Lt Susisiekimo sistemos priežiūros ir plėtros programoje, iš jų:</w:t>
      </w:r>
    </w:p>
    <w:p w:rsidR="001F0ADF" w:rsidRDefault="00770EC7">
      <w:pPr>
        <w:ind w:firstLine="709"/>
        <w:jc w:val="both"/>
        <w:rPr>
          <w:szCs w:val="20"/>
        </w:rPr>
      </w:pPr>
      <w:r>
        <w:rPr>
          <w:szCs w:val="20"/>
        </w:rPr>
        <w:t xml:space="preserve"> 30,0 tūkst. Lt  – Rokiškio g. ruožo nuo Pakruojo iki </w:t>
      </w:r>
      <w:r w:rsidR="000056EF">
        <w:rPr>
          <w:szCs w:val="20"/>
        </w:rPr>
        <w:t>Utenos g. rekonstravimui dėl</w:t>
      </w:r>
      <w:r>
        <w:rPr>
          <w:szCs w:val="20"/>
        </w:rPr>
        <w:t xml:space="preserve"> užsitęsusių  viešųjų pirkimų procedūrų;</w:t>
      </w:r>
    </w:p>
    <w:p w:rsidR="001F0ADF" w:rsidRDefault="00770EC7">
      <w:pPr>
        <w:tabs>
          <w:tab w:val="left" w:pos="825"/>
        </w:tabs>
        <w:jc w:val="both"/>
        <w:rPr>
          <w:szCs w:val="20"/>
        </w:rPr>
      </w:pPr>
      <w:r>
        <w:rPr>
          <w:szCs w:val="20"/>
        </w:rPr>
        <w:t xml:space="preserve">             16,7 tūkst. Lt – Baltijos prospekto ir Minijos gatvės sankryžos rekonstrukcijai (I etapas) dėl pigiau nupirktų rangos darbų nei planuota;</w:t>
      </w:r>
    </w:p>
    <w:p w:rsidR="001F0ADF" w:rsidRDefault="00770EC7">
      <w:pPr>
        <w:ind w:firstLine="709"/>
        <w:jc w:val="both"/>
        <w:rPr>
          <w:szCs w:val="20"/>
        </w:rPr>
      </w:pPr>
      <w:r>
        <w:rPr>
          <w:szCs w:val="20"/>
        </w:rPr>
        <w:t xml:space="preserve"> 50,0 tūkst. Lt Susisiekimo sistemos priežiūros ir plėtros programoje priestato statybai prie lopšelio-darželio „Puriena“ dėl projektuotojo vėlavimo atlikti numatytus darbus;</w:t>
      </w:r>
    </w:p>
    <w:p w:rsidR="001F0ADF" w:rsidRDefault="00770EC7">
      <w:pPr>
        <w:ind w:firstLine="709"/>
        <w:jc w:val="both"/>
        <w:rPr>
          <w:szCs w:val="20"/>
        </w:rPr>
      </w:pPr>
      <w:r>
        <w:rPr>
          <w:szCs w:val="20"/>
        </w:rPr>
        <w:t xml:space="preserve"> 35,8 tūkst. Lt Sveikatos apsaugos programoje, iš jų dėl pigiau nupirktų darbų nei planuota:</w:t>
      </w:r>
    </w:p>
    <w:p w:rsidR="001F0ADF" w:rsidRDefault="00770EC7">
      <w:pPr>
        <w:ind w:firstLine="709"/>
        <w:jc w:val="both"/>
        <w:rPr>
          <w:szCs w:val="20"/>
        </w:rPr>
      </w:pPr>
      <w:r>
        <w:rPr>
          <w:szCs w:val="20"/>
        </w:rPr>
        <w:t xml:space="preserve"> 35,4 tūkst. Lt – VšĮ Klaipėdos vaikų ligoninės lifto keitimui (K. Donelaičio g. 7);</w:t>
      </w:r>
    </w:p>
    <w:p w:rsidR="001F0ADF" w:rsidRDefault="00770EC7">
      <w:pPr>
        <w:ind w:firstLine="709"/>
        <w:jc w:val="both"/>
        <w:rPr>
          <w:szCs w:val="20"/>
        </w:rPr>
      </w:pPr>
      <w:r>
        <w:rPr>
          <w:szCs w:val="20"/>
        </w:rPr>
        <w:t xml:space="preserve"> 0,4 tūkst. Lt – VšĮ Klaipėdos sveikatos priežiūros centro vaikų baseino vandens valymo ir dezinfekavimo įrangos sumontavimui ir kapitalinio remonto darbams.</w:t>
      </w:r>
    </w:p>
    <w:p w:rsidR="001F0ADF" w:rsidRDefault="00770EC7">
      <w:pPr>
        <w:jc w:val="both"/>
        <w:rPr>
          <w:szCs w:val="20"/>
        </w:rPr>
      </w:pPr>
      <w:r>
        <w:rPr>
          <w:szCs w:val="20"/>
        </w:rPr>
        <w:t xml:space="preserve">         Privatizavimo fondo lėšų likutis 2015-01-01 – 1427,0 tūkst. Lt (413,29 tūkst. Eur). </w:t>
      </w:r>
    </w:p>
    <w:p w:rsidR="001F0ADF" w:rsidRDefault="00770EC7">
      <w:pPr>
        <w:ind w:firstLine="567"/>
        <w:jc w:val="both"/>
        <w:rPr>
          <w:b/>
          <w:bCs/>
        </w:rPr>
      </w:pPr>
      <w:r>
        <w:rPr>
          <w:b/>
          <w:bCs/>
        </w:rPr>
        <w:t>3. Kokių rezultatų laukiama</w:t>
      </w:r>
    </w:p>
    <w:p w:rsidR="001F0ADF" w:rsidRDefault="00770EC7">
      <w:pPr>
        <w:pStyle w:val="TextBody"/>
        <w:tabs>
          <w:tab w:val="left" w:pos="540"/>
        </w:tabs>
        <w:ind w:firstLine="567"/>
        <w:rPr>
          <w:b/>
        </w:rPr>
      </w:pPr>
      <w:r>
        <w:rPr>
          <w:szCs w:val="24"/>
          <w:lang w:eastAsia="lt-LT"/>
        </w:rPr>
        <w:t>Teisės aktų nustatyta tvarka bus patvirtinta ataskaita.</w:t>
      </w:r>
    </w:p>
    <w:p w:rsidR="001F0ADF" w:rsidRDefault="00770EC7">
      <w:pPr>
        <w:pStyle w:val="TextBody"/>
        <w:tabs>
          <w:tab w:val="left" w:pos="540"/>
        </w:tabs>
        <w:ind w:firstLine="567"/>
        <w:rPr>
          <w:b/>
        </w:rPr>
      </w:pPr>
      <w:r>
        <w:rPr>
          <w:b/>
        </w:rPr>
        <w:t>4. Sprendimo projekto rengimo metu gauti specialistų vertinimai.</w:t>
      </w:r>
    </w:p>
    <w:p w:rsidR="001F0ADF" w:rsidRDefault="00770EC7">
      <w:pPr>
        <w:pStyle w:val="TextBody"/>
        <w:tabs>
          <w:tab w:val="left" w:pos="540"/>
        </w:tabs>
        <w:ind w:firstLine="567"/>
      </w:pPr>
      <w:r>
        <w:t>Vertinimų negauta.</w:t>
      </w:r>
    </w:p>
    <w:p w:rsidR="001F0ADF" w:rsidRDefault="00770EC7">
      <w:pPr>
        <w:tabs>
          <w:tab w:val="left" w:pos="540"/>
        </w:tabs>
        <w:ind w:firstLine="567"/>
        <w:jc w:val="both"/>
        <w:rPr>
          <w:b/>
        </w:rPr>
      </w:pPr>
      <w:r>
        <w:rPr>
          <w:b/>
        </w:rPr>
        <w:t>5. Išlaidų sąmatos, skaičiavimai, reikalingi pagrindimai ir paaiškinimai.</w:t>
      </w:r>
    </w:p>
    <w:p w:rsidR="001F0ADF" w:rsidRDefault="00770EC7">
      <w:pPr>
        <w:pStyle w:val="TextBody"/>
        <w:ind w:firstLine="567"/>
        <w:rPr>
          <w:b/>
        </w:rPr>
      </w:pPr>
      <w:r>
        <w:rPr>
          <w:bCs/>
          <w:szCs w:val="24"/>
          <w:lang w:eastAsia="lt-LT"/>
        </w:rPr>
        <w:t>Skaičiavimai prie sprendimo nereikalingi.</w:t>
      </w:r>
    </w:p>
    <w:p w:rsidR="001F0ADF" w:rsidRDefault="00770EC7">
      <w:pPr>
        <w:pStyle w:val="TextBody"/>
        <w:ind w:firstLine="567"/>
        <w:rPr>
          <w:b/>
        </w:rPr>
      </w:pPr>
      <w:r>
        <w:rPr>
          <w:b/>
        </w:rPr>
        <w:t>6. Lėšų poreikis sprendimo įgyvendinimui.</w:t>
      </w:r>
    </w:p>
    <w:p w:rsidR="001F0ADF" w:rsidRDefault="00770EC7">
      <w:pPr>
        <w:tabs>
          <w:tab w:val="left" w:pos="540"/>
          <w:tab w:val="left" w:pos="1080"/>
        </w:tabs>
        <w:ind w:firstLine="567"/>
        <w:jc w:val="both"/>
        <w:rPr>
          <w:b/>
        </w:rPr>
      </w:pPr>
      <w:r>
        <w:t>Lėšų sprendimui įgyvendinti nereikia.</w:t>
      </w:r>
    </w:p>
    <w:p w:rsidR="001F0ADF" w:rsidRDefault="00770EC7">
      <w:pPr>
        <w:tabs>
          <w:tab w:val="left" w:pos="540"/>
          <w:tab w:val="left" w:pos="1080"/>
        </w:tabs>
        <w:ind w:firstLine="567"/>
        <w:jc w:val="both"/>
        <w:rPr>
          <w:b/>
        </w:rPr>
      </w:pPr>
      <w:r>
        <w:rPr>
          <w:b/>
        </w:rPr>
        <w:t>7. Galimos teigiamos ir neigiamos sprendimo priėmimo pasekmės</w:t>
      </w:r>
    </w:p>
    <w:p w:rsidR="001F0ADF" w:rsidRDefault="00770EC7">
      <w:pPr>
        <w:ind w:firstLine="567"/>
        <w:jc w:val="both"/>
      </w:pPr>
      <w:r>
        <w:t xml:space="preserve">Nenumatoma. </w:t>
      </w:r>
    </w:p>
    <w:p w:rsidR="001F0ADF" w:rsidRDefault="001F0ADF">
      <w:pPr>
        <w:pStyle w:val="Antrats"/>
        <w:rPr>
          <w:sz w:val="18"/>
          <w:szCs w:val="18"/>
        </w:rPr>
      </w:pPr>
    </w:p>
    <w:p w:rsidR="001F0ADF" w:rsidRDefault="00770EC7">
      <w:pPr>
        <w:tabs>
          <w:tab w:val="left" w:pos="360"/>
          <w:tab w:val="left" w:pos="1080"/>
        </w:tabs>
        <w:ind w:firstLine="567"/>
        <w:jc w:val="both"/>
        <w:rPr>
          <w:szCs w:val="20"/>
        </w:rPr>
      </w:pPr>
      <w:r>
        <w:rPr>
          <w:szCs w:val="20"/>
        </w:rPr>
        <w:t>PRIDEDAMA. Teisės aktų išrašai, 1 lapas.</w:t>
      </w:r>
    </w:p>
    <w:p w:rsidR="001F0ADF" w:rsidRDefault="001F0ADF">
      <w:pPr>
        <w:pStyle w:val="Antrats"/>
        <w:tabs>
          <w:tab w:val="left" w:pos="540"/>
          <w:tab w:val="left" w:pos="900"/>
        </w:tabs>
        <w:spacing w:line="360" w:lineRule="auto"/>
      </w:pPr>
    </w:p>
    <w:p w:rsidR="001F0ADF" w:rsidRDefault="001F0ADF">
      <w:pPr>
        <w:pStyle w:val="Antrats"/>
        <w:tabs>
          <w:tab w:val="left" w:pos="540"/>
          <w:tab w:val="left" w:pos="900"/>
        </w:tabs>
        <w:spacing w:line="360" w:lineRule="auto"/>
      </w:pPr>
    </w:p>
    <w:p w:rsidR="001F0ADF" w:rsidRDefault="00770EC7">
      <w:pPr>
        <w:pStyle w:val="Antrats"/>
        <w:tabs>
          <w:tab w:val="left" w:pos="540"/>
          <w:tab w:val="left" w:pos="900"/>
        </w:tabs>
        <w:spacing w:line="360" w:lineRule="auto"/>
      </w:pPr>
      <w:r>
        <w:t>Finansų skyriaus vedėja</w:t>
      </w:r>
      <w:r>
        <w:tab/>
        <w:t xml:space="preserve">                                                  </w:t>
      </w:r>
      <w:r w:rsidR="00641D2F">
        <w:t xml:space="preserve">                                            </w:t>
      </w:r>
      <w:r>
        <w:t>Rūta Kambaraitė</w:t>
      </w:r>
    </w:p>
    <w:p w:rsidR="001F0ADF" w:rsidRDefault="00770EC7">
      <w:pPr>
        <w:pStyle w:val="Antrats"/>
        <w:spacing w:line="360" w:lineRule="auto"/>
      </w:pPr>
      <w:r>
        <w:tab/>
      </w:r>
      <w:r>
        <w:tab/>
      </w:r>
      <w:r>
        <w:tab/>
      </w:r>
      <w:r>
        <w:tab/>
      </w:r>
      <w:r>
        <w:tab/>
      </w:r>
      <w:r>
        <w:tab/>
        <w:t xml:space="preserve">         </w:t>
      </w:r>
    </w:p>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1F0ADF"/>
    <w:p w:rsidR="001F0ADF" w:rsidRDefault="00770EC7">
      <w:pPr>
        <w:rPr>
          <w:sz w:val="20"/>
          <w:szCs w:val="20"/>
          <w:lang w:eastAsia="en-US"/>
        </w:rPr>
      </w:pPr>
      <w:r>
        <w:rPr>
          <w:sz w:val="20"/>
          <w:szCs w:val="20"/>
          <w:lang w:eastAsia="en-US"/>
        </w:rPr>
        <w:t xml:space="preserve">Įstatymas skelbtas: Žin., 1994, Nr. </w:t>
      </w:r>
      <w:hyperlink r:id="rId6">
        <w:r>
          <w:rPr>
            <w:rStyle w:val="InternetLink"/>
            <w:color w:val="0000FF"/>
            <w:sz w:val="20"/>
            <w:szCs w:val="20"/>
            <w:lang w:eastAsia="en-US"/>
          </w:rPr>
          <w:t>55-1049</w:t>
        </w:r>
      </w:hyperlink>
    </w:p>
    <w:p w:rsidR="001F0ADF" w:rsidRDefault="00770EC7">
      <w:pPr>
        <w:jc w:val="both"/>
        <w:rPr>
          <w:sz w:val="20"/>
          <w:szCs w:val="20"/>
          <w:lang w:eastAsia="en-US"/>
        </w:rPr>
      </w:pPr>
      <w:r>
        <w:rPr>
          <w:sz w:val="20"/>
          <w:szCs w:val="20"/>
          <w:lang w:eastAsia="en-US"/>
        </w:rPr>
        <w:t>Neoficialus įstatymo tekstas</w:t>
      </w:r>
    </w:p>
    <w:p w:rsidR="001F0ADF" w:rsidRDefault="001F0ADF">
      <w:pPr>
        <w:jc w:val="center"/>
        <w:rPr>
          <w:b/>
          <w:sz w:val="22"/>
          <w:szCs w:val="20"/>
          <w:lang w:eastAsia="en-US"/>
        </w:rPr>
      </w:pPr>
    </w:p>
    <w:p w:rsidR="001F0ADF" w:rsidRDefault="00770EC7">
      <w:pPr>
        <w:jc w:val="center"/>
        <w:rPr>
          <w:b/>
          <w:sz w:val="22"/>
          <w:szCs w:val="20"/>
          <w:lang w:eastAsia="en-US"/>
        </w:rPr>
      </w:pPr>
      <w:r>
        <w:rPr>
          <w:b/>
          <w:sz w:val="22"/>
          <w:szCs w:val="20"/>
          <w:lang w:eastAsia="en-US"/>
        </w:rPr>
        <w:t>LIETUVOS RESPUBLIKOS</w:t>
      </w:r>
    </w:p>
    <w:p w:rsidR="001F0ADF" w:rsidRDefault="00770EC7">
      <w:pPr>
        <w:jc w:val="center"/>
        <w:rPr>
          <w:b/>
          <w:sz w:val="22"/>
          <w:szCs w:val="20"/>
          <w:lang w:eastAsia="en-US"/>
        </w:rPr>
      </w:pPr>
      <w:r>
        <w:rPr>
          <w:b/>
          <w:sz w:val="22"/>
          <w:szCs w:val="20"/>
          <w:lang w:eastAsia="en-US"/>
        </w:rPr>
        <w:t>VIETOS SAVIVALDOS</w:t>
      </w:r>
    </w:p>
    <w:p w:rsidR="001F0ADF" w:rsidRDefault="00770EC7">
      <w:pPr>
        <w:jc w:val="center"/>
        <w:rPr>
          <w:b/>
          <w:sz w:val="22"/>
          <w:szCs w:val="20"/>
          <w:lang w:eastAsia="en-US"/>
        </w:rPr>
      </w:pPr>
      <w:r>
        <w:rPr>
          <w:b/>
          <w:sz w:val="22"/>
          <w:szCs w:val="20"/>
          <w:lang w:eastAsia="en-US"/>
        </w:rPr>
        <w:t>ĮSTATYMAS</w:t>
      </w:r>
    </w:p>
    <w:p w:rsidR="001F0ADF" w:rsidRDefault="001F0ADF">
      <w:pPr>
        <w:jc w:val="center"/>
        <w:rPr>
          <w:b/>
          <w:sz w:val="22"/>
          <w:szCs w:val="20"/>
          <w:lang w:eastAsia="en-US"/>
        </w:rPr>
      </w:pPr>
    </w:p>
    <w:p w:rsidR="001F0ADF" w:rsidRDefault="00770EC7">
      <w:pPr>
        <w:jc w:val="center"/>
        <w:rPr>
          <w:sz w:val="22"/>
          <w:szCs w:val="20"/>
          <w:lang w:eastAsia="en-US"/>
        </w:rPr>
      </w:pPr>
      <w:r>
        <w:rPr>
          <w:sz w:val="22"/>
          <w:szCs w:val="20"/>
          <w:lang w:eastAsia="en-US"/>
        </w:rPr>
        <w:t>1994 m. liepos 7 d. Nr. I-533</w:t>
      </w:r>
    </w:p>
    <w:p w:rsidR="001F0ADF" w:rsidRDefault="00770EC7">
      <w:pPr>
        <w:jc w:val="center"/>
        <w:rPr>
          <w:sz w:val="22"/>
          <w:szCs w:val="20"/>
          <w:lang w:eastAsia="en-US"/>
        </w:rPr>
      </w:pPr>
      <w:r>
        <w:rPr>
          <w:sz w:val="22"/>
          <w:szCs w:val="20"/>
          <w:lang w:eastAsia="en-US"/>
        </w:rPr>
        <w:t>Vilnius</w:t>
      </w:r>
    </w:p>
    <w:p w:rsidR="001F0ADF" w:rsidRDefault="001F0ADF">
      <w:pPr>
        <w:jc w:val="both"/>
        <w:rPr>
          <w:sz w:val="22"/>
          <w:szCs w:val="20"/>
          <w:lang w:eastAsia="en-US"/>
        </w:rPr>
      </w:pPr>
    </w:p>
    <w:p w:rsidR="001F0ADF" w:rsidRDefault="001F0ADF">
      <w:pPr>
        <w:jc w:val="both"/>
        <w:rPr>
          <w:sz w:val="22"/>
          <w:szCs w:val="20"/>
          <w:lang w:eastAsia="en-US"/>
        </w:rPr>
      </w:pPr>
    </w:p>
    <w:p w:rsidR="001F0ADF" w:rsidRDefault="00770EC7">
      <w:pPr>
        <w:jc w:val="both"/>
        <w:rPr>
          <w:b/>
          <w:i/>
          <w:sz w:val="20"/>
          <w:szCs w:val="20"/>
          <w:lang w:eastAsia="en-US"/>
        </w:rPr>
      </w:pPr>
      <w:r>
        <w:rPr>
          <w:b/>
          <w:i/>
          <w:sz w:val="20"/>
          <w:szCs w:val="20"/>
          <w:lang w:eastAsia="en-US"/>
        </w:rPr>
        <w:t>Nauja įstatymo redakcija nuo 2008-10-01:</w:t>
      </w:r>
    </w:p>
    <w:p w:rsidR="001F0ADF" w:rsidRDefault="00770EC7">
      <w:pPr>
        <w:rPr>
          <w:rFonts w:eastAsia="MS Mincho;ＭＳ 明朝"/>
          <w:i/>
          <w:iCs/>
          <w:sz w:val="20"/>
          <w:szCs w:val="20"/>
          <w:lang w:eastAsia="en-US"/>
        </w:rPr>
      </w:pPr>
      <w:r>
        <w:rPr>
          <w:rFonts w:eastAsia="MS Mincho;ＭＳ 明朝"/>
          <w:i/>
          <w:iCs/>
          <w:sz w:val="20"/>
          <w:szCs w:val="20"/>
          <w:lang w:eastAsia="en-US"/>
        </w:rPr>
        <w:t xml:space="preserve">Nr. </w:t>
      </w:r>
      <w:hyperlink r:id="rId7">
        <w:r>
          <w:rPr>
            <w:rStyle w:val="InternetLink"/>
            <w:rFonts w:eastAsia="MS Mincho;ＭＳ 明朝"/>
            <w:i/>
            <w:iCs/>
            <w:color w:val="0000FF"/>
            <w:sz w:val="20"/>
            <w:szCs w:val="20"/>
            <w:lang w:eastAsia="en-US"/>
          </w:rPr>
          <w:t>X-1722</w:t>
        </w:r>
      </w:hyperlink>
      <w:r>
        <w:rPr>
          <w:rFonts w:eastAsia="MS Mincho;ＭＳ 明朝"/>
          <w:i/>
          <w:iCs/>
          <w:sz w:val="20"/>
          <w:szCs w:val="20"/>
          <w:lang w:eastAsia="en-US"/>
        </w:rPr>
        <w:t>, 2008-09-15, Žin., 2008, Nr. 113-4290 (2008-10-01),</w:t>
      </w:r>
      <w:r>
        <w:rPr>
          <w:bCs/>
          <w:sz w:val="20"/>
          <w:szCs w:val="20"/>
          <w:lang w:eastAsia="en-US"/>
        </w:rPr>
        <w:t xml:space="preserve"> </w:t>
      </w:r>
      <w:hyperlink r:id="rId8">
        <w:r>
          <w:rPr>
            <w:rStyle w:val="InternetLink"/>
            <w:b/>
            <w:bCs/>
            <w:i/>
            <w:sz w:val="20"/>
            <w:szCs w:val="20"/>
            <w:lang w:eastAsia="en-US"/>
          </w:rPr>
          <w:t>atitaisymas</w:t>
        </w:r>
      </w:hyperlink>
      <w:r>
        <w:rPr>
          <w:b/>
          <w:bCs/>
          <w:i/>
          <w:sz w:val="20"/>
          <w:szCs w:val="20"/>
          <w:lang w:eastAsia="en-US"/>
        </w:rPr>
        <w:t xml:space="preserve"> skelbtas: Žin., 2011, Nr. 45</w:t>
      </w:r>
    </w:p>
    <w:p w:rsidR="001F0ADF" w:rsidRDefault="001F0ADF">
      <w:pPr>
        <w:ind w:firstLine="720"/>
        <w:jc w:val="both"/>
        <w:rPr>
          <w:rFonts w:eastAsia="MS Mincho;ＭＳ 明朝"/>
          <w:b/>
          <w:i/>
          <w:iCs/>
          <w:sz w:val="22"/>
          <w:szCs w:val="22"/>
          <w:lang w:eastAsia="en-US"/>
        </w:rPr>
      </w:pPr>
    </w:p>
    <w:p w:rsidR="001F0ADF" w:rsidRDefault="00770EC7">
      <w:pPr>
        <w:jc w:val="center"/>
        <w:rPr>
          <w:b/>
          <w:sz w:val="22"/>
          <w:szCs w:val="20"/>
          <w:lang w:eastAsia="en-US"/>
        </w:rPr>
      </w:pPr>
      <w:r>
        <w:rPr>
          <w:b/>
          <w:sz w:val="22"/>
          <w:szCs w:val="20"/>
          <w:lang w:eastAsia="en-US"/>
        </w:rPr>
        <w:t>KETVIRTASIS SKIRSNIS</w:t>
      </w:r>
    </w:p>
    <w:p w:rsidR="001F0ADF" w:rsidRDefault="00770EC7">
      <w:pPr>
        <w:jc w:val="center"/>
        <w:rPr>
          <w:b/>
          <w:sz w:val="22"/>
          <w:szCs w:val="20"/>
          <w:lang w:eastAsia="en-US"/>
        </w:rPr>
      </w:pPr>
      <w:bookmarkStart w:id="1" w:name="skirsnis4"/>
      <w:bookmarkEnd w:id="1"/>
      <w:r>
        <w:rPr>
          <w:b/>
          <w:sz w:val="22"/>
          <w:szCs w:val="20"/>
          <w:lang w:eastAsia="en-US"/>
        </w:rPr>
        <w:t>SAVIVALDYBIŲ INSTITUCIJOS, JŲ SUDARYMAS IR ĮGALIOJIMAI</w:t>
      </w:r>
    </w:p>
    <w:p w:rsidR="001F0ADF" w:rsidRDefault="001F0ADF">
      <w:pPr>
        <w:ind w:firstLine="720"/>
        <w:jc w:val="both"/>
        <w:rPr>
          <w:b/>
          <w:sz w:val="22"/>
          <w:szCs w:val="20"/>
          <w:lang w:eastAsia="en-US"/>
        </w:rPr>
      </w:pPr>
    </w:p>
    <w:p w:rsidR="001F0ADF" w:rsidRDefault="001F0ADF">
      <w:pPr>
        <w:ind w:firstLine="720"/>
        <w:jc w:val="both"/>
        <w:rPr>
          <w:b/>
          <w:sz w:val="22"/>
          <w:szCs w:val="20"/>
          <w:lang w:eastAsia="en-US"/>
        </w:rPr>
      </w:pPr>
    </w:p>
    <w:p w:rsidR="001F0ADF" w:rsidRDefault="00770EC7">
      <w:pPr>
        <w:ind w:firstLine="720"/>
        <w:jc w:val="both"/>
        <w:rPr>
          <w:b/>
          <w:sz w:val="22"/>
          <w:szCs w:val="20"/>
          <w:lang w:eastAsia="en-US"/>
        </w:rPr>
      </w:pPr>
      <w:r>
        <w:rPr>
          <w:b/>
          <w:sz w:val="22"/>
          <w:szCs w:val="20"/>
          <w:lang w:eastAsia="en-US"/>
        </w:rPr>
        <w:t>16 straipsnis. Savivaldybės tarybos kompetencija</w:t>
      </w:r>
    </w:p>
    <w:p w:rsidR="001F0ADF" w:rsidRDefault="00770EC7">
      <w:pPr>
        <w:ind w:firstLine="720"/>
        <w:jc w:val="both"/>
        <w:rPr>
          <w:bCs/>
          <w:sz w:val="22"/>
          <w:szCs w:val="20"/>
          <w:lang w:eastAsia="en-US"/>
        </w:rPr>
      </w:pPr>
      <w:bookmarkStart w:id="2" w:name="straipsnis16"/>
      <w:bookmarkEnd w:id="2"/>
      <w:r>
        <w:rPr>
          <w:bCs/>
          <w:sz w:val="22"/>
          <w:szCs w:val="20"/>
          <w:lang w:eastAsia="en-US"/>
        </w:rPr>
        <w:t>2. Išimtinė savivaldybės tarybos kompetencija:</w:t>
      </w:r>
    </w:p>
    <w:p w:rsidR="001F0ADF" w:rsidRDefault="00770EC7">
      <w:pPr>
        <w:ind w:firstLine="720"/>
        <w:jc w:val="both"/>
        <w:rPr>
          <w:bCs/>
          <w:i/>
          <w:sz w:val="22"/>
          <w:szCs w:val="20"/>
          <w:lang w:eastAsia="en-US"/>
        </w:rPr>
      </w:pPr>
      <w:r>
        <w:rPr>
          <w:bCs/>
          <w:sz w:val="22"/>
          <w:szCs w:val="20"/>
          <w:lang w:eastAsia="en-US"/>
        </w:rPr>
        <w:t>17) sprendimų dėl papildomų ir planą viršijančių savivaldybės biudžeto pajamų ir kitų piniginių lėšų paskirstymo, tikslinės paskirties ir specializuotų fondų sudarymo ir naudojimo priėmimas;</w:t>
      </w:r>
    </w:p>
    <w:p w:rsidR="001F0ADF" w:rsidRDefault="00770EC7">
      <w:pPr>
        <w:jc w:val="both"/>
        <w:rPr>
          <w:bCs/>
          <w:i/>
          <w:iCs/>
          <w:sz w:val="20"/>
          <w:szCs w:val="20"/>
          <w:lang w:eastAsia="en-US"/>
        </w:rPr>
      </w:pPr>
      <w:r>
        <w:rPr>
          <w:bCs/>
          <w:i/>
          <w:iCs/>
          <w:sz w:val="20"/>
          <w:szCs w:val="20"/>
          <w:lang w:eastAsia="en-US"/>
        </w:rPr>
        <w:t>Straipsnio pakeitimai:</w:t>
      </w:r>
    </w:p>
    <w:p w:rsidR="001F0ADF" w:rsidRDefault="00770EC7">
      <w:pPr>
        <w:jc w:val="both"/>
      </w:pPr>
      <w:r>
        <w:rPr>
          <w:rFonts w:eastAsia="MS Mincho;ＭＳ 明朝"/>
          <w:bCs/>
          <w:i/>
          <w:iCs/>
          <w:sz w:val="20"/>
          <w:szCs w:val="20"/>
          <w:lang w:eastAsia="en-US"/>
        </w:rPr>
        <w:t xml:space="preserve">Nr. </w:t>
      </w:r>
      <w:hyperlink r:id="rId9">
        <w:r>
          <w:rPr>
            <w:rStyle w:val="InternetLink"/>
            <w:rFonts w:eastAsia="MS Mincho;ＭＳ 明朝"/>
            <w:bCs/>
            <w:i/>
            <w:iCs/>
            <w:color w:val="0000FF"/>
            <w:sz w:val="20"/>
            <w:szCs w:val="20"/>
            <w:lang w:eastAsia="en-US"/>
          </w:rPr>
          <w:t>X-1830</w:t>
        </w:r>
      </w:hyperlink>
      <w:r>
        <w:rPr>
          <w:rFonts w:eastAsia="MS Mincho;ＭＳ 明朝"/>
          <w:bCs/>
          <w:i/>
          <w:iCs/>
          <w:sz w:val="20"/>
          <w:szCs w:val="20"/>
          <w:lang w:eastAsia="en-US"/>
        </w:rPr>
        <w:t>, 2008-11-14, Žin., 2008, Nr. 137-5379 (2008-11-29)</w:t>
      </w:r>
    </w:p>
    <w:p w:rsidR="001F0ADF" w:rsidRDefault="00770EC7">
      <w:pPr>
        <w:autoSpaceDE w:val="0"/>
      </w:pPr>
      <w:r>
        <w:rPr>
          <w:i/>
          <w:sz w:val="20"/>
          <w:szCs w:val="20"/>
          <w:lang w:eastAsia="en-US"/>
        </w:rPr>
        <w:t xml:space="preserve">Nr. </w:t>
      </w:r>
      <w:hyperlink r:id="rId10">
        <w:r>
          <w:rPr>
            <w:rStyle w:val="InternetLink"/>
            <w:i/>
            <w:color w:val="0000FF"/>
            <w:sz w:val="20"/>
            <w:szCs w:val="20"/>
            <w:lang w:eastAsia="en-US"/>
          </w:rPr>
          <w:t>XI-300</w:t>
        </w:r>
      </w:hyperlink>
      <w:r>
        <w:rPr>
          <w:i/>
          <w:sz w:val="20"/>
          <w:szCs w:val="20"/>
          <w:lang w:eastAsia="en-US"/>
        </w:rPr>
        <w:t>, 2009-06-16, Žin., 2009, Nr. 77-3165 (2009-06-30)</w:t>
      </w:r>
    </w:p>
    <w:p w:rsidR="001F0ADF" w:rsidRDefault="00770EC7">
      <w:pPr>
        <w:autoSpaceDE w:val="0"/>
        <w:jc w:val="both"/>
      </w:pPr>
      <w:r>
        <w:rPr>
          <w:i/>
          <w:sz w:val="20"/>
          <w:szCs w:val="20"/>
          <w:lang w:eastAsia="en-US"/>
        </w:rPr>
        <w:t xml:space="preserve">Nr. </w:t>
      </w:r>
      <w:hyperlink r:id="rId11">
        <w:r>
          <w:rPr>
            <w:rStyle w:val="InternetLink"/>
            <w:i/>
            <w:color w:val="0000FF"/>
            <w:sz w:val="20"/>
            <w:szCs w:val="20"/>
            <w:lang w:eastAsia="en-US"/>
          </w:rPr>
          <w:t>XI-620</w:t>
        </w:r>
      </w:hyperlink>
      <w:r>
        <w:rPr>
          <w:i/>
          <w:sz w:val="20"/>
          <w:szCs w:val="20"/>
          <w:lang w:eastAsia="en-US"/>
        </w:rPr>
        <w:t>, 2009-12-22, Žin., 2009, Nr. 159-7206 (2009-12-31)</w:t>
      </w:r>
    </w:p>
    <w:p w:rsidR="001F0ADF" w:rsidRDefault="00770EC7">
      <w:pPr>
        <w:autoSpaceDE w:val="0"/>
      </w:pPr>
      <w:r>
        <w:rPr>
          <w:i/>
          <w:sz w:val="20"/>
          <w:szCs w:val="20"/>
          <w:lang w:eastAsia="en-US"/>
        </w:rPr>
        <w:t xml:space="preserve">Nr. </w:t>
      </w:r>
      <w:hyperlink r:id="rId12">
        <w:r>
          <w:rPr>
            <w:rStyle w:val="InternetLink"/>
            <w:i/>
            <w:color w:val="0000FF"/>
            <w:sz w:val="20"/>
            <w:szCs w:val="20"/>
            <w:lang w:eastAsia="en-US"/>
          </w:rPr>
          <w:t>XI-682</w:t>
        </w:r>
      </w:hyperlink>
      <w:r>
        <w:rPr>
          <w:i/>
          <w:sz w:val="20"/>
          <w:szCs w:val="20"/>
          <w:lang w:eastAsia="en-US"/>
        </w:rPr>
        <w:t>, 2010-02-11, Žin., 2010, Nr. 25-1177 (2010-03-02)</w:t>
      </w:r>
    </w:p>
    <w:p w:rsidR="001F0ADF" w:rsidRDefault="00770EC7">
      <w:pPr>
        <w:autoSpaceDE w:val="0"/>
      </w:pPr>
      <w:r>
        <w:rPr>
          <w:i/>
          <w:sz w:val="20"/>
          <w:szCs w:val="20"/>
          <w:lang w:eastAsia="en-US"/>
        </w:rPr>
        <w:t xml:space="preserve">Nr. </w:t>
      </w:r>
      <w:hyperlink r:id="rId13">
        <w:r>
          <w:rPr>
            <w:rStyle w:val="InternetLink"/>
            <w:i/>
            <w:color w:val="0000FF"/>
            <w:sz w:val="20"/>
            <w:szCs w:val="20"/>
            <w:lang w:eastAsia="en-US"/>
          </w:rPr>
          <w:t>XI-770</w:t>
        </w:r>
      </w:hyperlink>
      <w:r>
        <w:rPr>
          <w:i/>
          <w:sz w:val="20"/>
          <w:szCs w:val="20"/>
          <w:lang w:eastAsia="en-US"/>
        </w:rPr>
        <w:t>, 2010-04-20, Žin., 2010, Nr. 51-2480 (2010-05-04)</w:t>
      </w:r>
    </w:p>
    <w:p w:rsidR="001F0ADF" w:rsidRDefault="00770EC7">
      <w:pPr>
        <w:autoSpaceDE w:val="0"/>
      </w:pPr>
      <w:r>
        <w:rPr>
          <w:i/>
          <w:sz w:val="20"/>
          <w:szCs w:val="20"/>
          <w:lang w:eastAsia="en-US"/>
        </w:rPr>
        <w:t xml:space="preserve">Nr. </w:t>
      </w:r>
      <w:hyperlink r:id="rId14">
        <w:r>
          <w:rPr>
            <w:rStyle w:val="InternetLink"/>
            <w:i/>
            <w:color w:val="0000FF"/>
            <w:sz w:val="20"/>
            <w:szCs w:val="20"/>
            <w:lang w:eastAsia="en-US"/>
          </w:rPr>
          <w:t>XI-971</w:t>
        </w:r>
      </w:hyperlink>
      <w:r>
        <w:rPr>
          <w:i/>
          <w:sz w:val="20"/>
          <w:szCs w:val="20"/>
          <w:lang w:eastAsia="en-US"/>
        </w:rPr>
        <w:t>, 2010-06-30, Žin., 2010, Nr. 86-4525 (2010-07-20)</w:t>
      </w:r>
    </w:p>
    <w:p w:rsidR="001F0ADF" w:rsidRDefault="00770EC7">
      <w:pPr>
        <w:autoSpaceDE w:val="0"/>
        <w:jc w:val="both"/>
      </w:pPr>
      <w:r>
        <w:rPr>
          <w:i/>
          <w:sz w:val="20"/>
          <w:szCs w:val="20"/>
          <w:lang w:eastAsia="en-US"/>
        </w:rPr>
        <w:t xml:space="preserve">Nr. </w:t>
      </w:r>
      <w:hyperlink r:id="rId15">
        <w:r>
          <w:rPr>
            <w:rStyle w:val="InternetLink"/>
            <w:i/>
            <w:color w:val="0000FF"/>
            <w:sz w:val="20"/>
            <w:szCs w:val="20"/>
            <w:lang w:eastAsia="en-US"/>
          </w:rPr>
          <w:t>XI-1327</w:t>
        </w:r>
      </w:hyperlink>
      <w:r>
        <w:rPr>
          <w:i/>
          <w:sz w:val="20"/>
          <w:szCs w:val="20"/>
          <w:lang w:eastAsia="en-US"/>
        </w:rPr>
        <w:t>, 2011-04-19, Žin., 2011, Nr. 52-2504 (2011-05-03)</w:t>
      </w:r>
    </w:p>
    <w:p w:rsidR="001F0ADF" w:rsidRDefault="00770EC7">
      <w:pPr>
        <w:jc w:val="both"/>
      </w:pPr>
      <w:r>
        <w:rPr>
          <w:i/>
          <w:sz w:val="20"/>
          <w:szCs w:val="20"/>
          <w:lang w:eastAsia="en-US"/>
        </w:rPr>
        <w:t xml:space="preserve">Nr. </w:t>
      </w:r>
      <w:hyperlink r:id="rId16">
        <w:r>
          <w:rPr>
            <w:rStyle w:val="InternetLink"/>
            <w:i/>
            <w:color w:val="0000FF"/>
            <w:sz w:val="20"/>
            <w:szCs w:val="20"/>
            <w:lang w:eastAsia="en-US"/>
          </w:rPr>
          <w:t>XI-2387</w:t>
        </w:r>
      </w:hyperlink>
      <w:r>
        <w:rPr>
          <w:i/>
          <w:sz w:val="20"/>
          <w:szCs w:val="20"/>
          <w:lang w:eastAsia="en-US"/>
        </w:rPr>
        <w:t>, 2012-11-08, Žin., 2012, Nr. 136-6958 (2012-11-24)</w:t>
      </w:r>
    </w:p>
    <w:p w:rsidR="001F0ADF" w:rsidRDefault="00770EC7">
      <w:pPr>
        <w:jc w:val="both"/>
      </w:pPr>
      <w:r>
        <w:rPr>
          <w:i/>
          <w:sz w:val="20"/>
          <w:szCs w:val="20"/>
          <w:lang w:eastAsia="en-US"/>
        </w:rPr>
        <w:t xml:space="preserve">Nr. </w:t>
      </w:r>
      <w:hyperlink r:id="rId17">
        <w:r>
          <w:rPr>
            <w:rStyle w:val="InternetLink"/>
            <w:i/>
            <w:color w:val="0000FF"/>
            <w:sz w:val="20"/>
            <w:szCs w:val="20"/>
            <w:lang w:eastAsia="en-US"/>
          </w:rPr>
          <w:t>XII-409</w:t>
        </w:r>
      </w:hyperlink>
      <w:r>
        <w:rPr>
          <w:i/>
          <w:sz w:val="20"/>
          <w:szCs w:val="20"/>
          <w:lang w:eastAsia="en-US"/>
        </w:rPr>
        <w:t>, 2013-06-27, Žin., 2013, Nr. 76-3826 (2013-07-16)</w:t>
      </w:r>
    </w:p>
    <w:p w:rsidR="001F0ADF" w:rsidRDefault="00770EC7">
      <w:pPr>
        <w:jc w:val="both"/>
      </w:pPr>
      <w:r>
        <w:rPr>
          <w:i/>
          <w:sz w:val="20"/>
          <w:szCs w:val="20"/>
          <w:lang w:eastAsia="en-US"/>
        </w:rPr>
        <w:t xml:space="preserve">Nr. </w:t>
      </w:r>
      <w:hyperlink r:id="rId18">
        <w:r>
          <w:rPr>
            <w:rStyle w:val="InternetLink"/>
            <w:i/>
            <w:color w:val="0000FF"/>
            <w:sz w:val="20"/>
            <w:szCs w:val="20"/>
            <w:lang w:eastAsia="en-US"/>
          </w:rPr>
          <w:t>XII-460</w:t>
        </w:r>
      </w:hyperlink>
      <w:r>
        <w:rPr>
          <w:i/>
          <w:sz w:val="20"/>
          <w:szCs w:val="20"/>
          <w:lang w:eastAsia="en-US"/>
        </w:rPr>
        <w:t>, 2013-07-02, Žin., 2013, Nr. 79-3981 (2013-07-23)</w:t>
      </w:r>
    </w:p>
    <w:p w:rsidR="001F0ADF" w:rsidRDefault="00770EC7">
      <w:pPr>
        <w:jc w:val="both"/>
      </w:pPr>
      <w:r>
        <w:rPr>
          <w:i/>
          <w:sz w:val="20"/>
          <w:szCs w:val="20"/>
          <w:lang w:eastAsia="en-US"/>
        </w:rPr>
        <w:t xml:space="preserve">Nr. </w:t>
      </w:r>
      <w:hyperlink r:id="rId19">
        <w:r>
          <w:rPr>
            <w:rStyle w:val="InternetLink"/>
            <w:i/>
            <w:color w:val="0000FF"/>
            <w:sz w:val="20"/>
            <w:szCs w:val="20"/>
            <w:lang w:eastAsia="en-US"/>
          </w:rPr>
          <w:t>XII-967</w:t>
        </w:r>
      </w:hyperlink>
      <w:r>
        <w:rPr>
          <w:i/>
          <w:sz w:val="20"/>
          <w:szCs w:val="20"/>
          <w:lang w:eastAsia="en-US"/>
        </w:rPr>
        <w:t>, 2014-06-26, paskelbta TAR 2014-07-11, i. k. 2014-10138</w:t>
      </w:r>
    </w:p>
    <w:p w:rsidR="00504CD3" w:rsidRPr="00504CD3" w:rsidRDefault="00504CD3" w:rsidP="00504CD3">
      <w:pPr>
        <w:suppressAutoHyphens w:val="0"/>
        <w:jc w:val="both"/>
        <w:rPr>
          <w:i/>
          <w:sz w:val="20"/>
          <w:szCs w:val="20"/>
          <w:lang w:eastAsia="en-US"/>
        </w:rPr>
      </w:pPr>
      <w:r w:rsidRPr="00504CD3">
        <w:rPr>
          <w:i/>
          <w:sz w:val="20"/>
          <w:szCs w:val="20"/>
          <w:lang w:eastAsia="en-US"/>
        </w:rPr>
        <w:t>Nr. XII-1887, 2015-06-25, paskelbta TAR 2015-07-09, i. k. 2015-11178</w:t>
      </w:r>
    </w:p>
    <w:p w:rsidR="001F0ADF" w:rsidRDefault="001F0ADF">
      <w:pPr>
        <w:ind w:firstLine="720"/>
        <w:jc w:val="both"/>
        <w:rPr>
          <w:b/>
          <w:i/>
          <w:sz w:val="22"/>
          <w:szCs w:val="20"/>
          <w:lang w:eastAsia="en-US"/>
        </w:rPr>
      </w:pPr>
    </w:p>
    <w:p w:rsidR="001F0ADF" w:rsidRDefault="001F0ADF">
      <w:pPr>
        <w:rPr>
          <w:b/>
          <w:sz w:val="22"/>
          <w:szCs w:val="20"/>
          <w:lang w:eastAsia="en-US"/>
        </w:rPr>
      </w:pPr>
    </w:p>
    <w:sectPr w:rsidR="001F0ADF">
      <w:pgSz w:w="11906" w:h="16838"/>
      <w:pgMar w:top="1134"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 PL SungtiL GB">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BA"/>
    <w:family w:val="swiss"/>
    <w:pitch w:val="variable"/>
    <w:sig w:usb0="61002A87" w:usb1="80000000" w:usb2="00000008" w:usb3="00000000" w:csb0="000101FF" w:csb1="00000000"/>
  </w:font>
  <w:font w:name="MS Mincho;ＭＳ 明朝">
    <w:panose1 w:val="00000000000000000000"/>
    <w:charset w:val="8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A8C"/>
    <w:multiLevelType w:val="multilevel"/>
    <w:tmpl w:val="1042191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pStyle w:val="Antrat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DF"/>
    <w:rsid w:val="000056EF"/>
    <w:rsid w:val="001D08F4"/>
    <w:rsid w:val="001F0ADF"/>
    <w:rsid w:val="00504CD3"/>
    <w:rsid w:val="00641D2F"/>
    <w:rsid w:val="00702E7D"/>
    <w:rsid w:val="00770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SungtiL GB"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rFonts w:ascii="Times New Roman" w:eastAsia="Times New Roman" w:hAnsi="Times New Roman" w:cs="Times New Roman"/>
      <w:sz w:val="24"/>
      <w:lang w:val="lt-LT" w:bidi="ar-SA"/>
    </w:rPr>
  </w:style>
  <w:style w:type="paragraph" w:styleId="Antrat3">
    <w:name w:val="heading 3"/>
    <w:basedOn w:val="prastasis"/>
    <w:next w:val="prastasis"/>
    <w:qFormat/>
    <w:pPr>
      <w:keepNext/>
      <w:numPr>
        <w:ilvl w:val="2"/>
        <w:numId w:val="1"/>
      </w:numPr>
      <w:jc w:val="center"/>
      <w:outlineLvl w:val="2"/>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u w:val="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u w:val="no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u w:val="none"/>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u w:val="no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u w:val="no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u w:val="none"/>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u w:val="no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u w:val="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color w:val="00000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eastAsia="Times New Roman" w:hAnsi="Times New Roman" w:cs="Times New Roman"/>
      <w:b w:val="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Pagrindinistekstas2Diagrama">
    <w:name w:val="Pagrindinis tekstas 2 Diagrama"/>
    <w:qFormat/>
    <w:rPr>
      <w:sz w:val="24"/>
      <w:szCs w:val="24"/>
    </w:rPr>
  </w:style>
  <w:style w:type="character" w:customStyle="1" w:styleId="InternetLink">
    <w:name w:val="Internet Link"/>
    <w:rPr>
      <w:color w:val="000080"/>
      <w:u w:val="single"/>
    </w:rPr>
  </w:style>
  <w:style w:type="paragraph" w:customStyle="1" w:styleId="Heading">
    <w:name w:val="Heading"/>
    <w:basedOn w:val="prastasis"/>
    <w:next w:val="TextBody"/>
    <w:qFormat/>
    <w:pPr>
      <w:keepNext/>
      <w:spacing w:before="240" w:after="120"/>
    </w:pPr>
    <w:rPr>
      <w:rFonts w:ascii="Liberation Sans" w:eastAsia="AR PL SungtiL GB" w:hAnsi="Liberation Sans" w:cs="FreeSans"/>
      <w:sz w:val="28"/>
      <w:szCs w:val="28"/>
    </w:rPr>
  </w:style>
  <w:style w:type="paragraph" w:customStyle="1" w:styleId="TextBody">
    <w:name w:val="Text Body"/>
    <w:basedOn w:val="prastasis"/>
    <w:pPr>
      <w:jc w:val="both"/>
    </w:pPr>
    <w:rPr>
      <w:szCs w:val="20"/>
    </w:rPr>
  </w:style>
  <w:style w:type="paragraph" w:styleId="Sraas">
    <w:name w:val="List"/>
    <w:basedOn w:val="TextBody"/>
    <w:rPr>
      <w:rFonts w:cs="FreeSans"/>
    </w:rPr>
  </w:style>
  <w:style w:type="paragraph" w:styleId="Antrat">
    <w:name w:val="caption"/>
    <w:basedOn w:val="prastasis"/>
    <w:qFormat/>
    <w:pPr>
      <w:suppressLineNumbers/>
      <w:spacing w:before="120" w:after="120"/>
    </w:pPr>
    <w:rPr>
      <w:rFonts w:cs="FreeSans"/>
      <w:i/>
      <w:iCs/>
    </w:rPr>
  </w:style>
  <w:style w:type="paragraph" w:customStyle="1" w:styleId="Index">
    <w:name w:val="Index"/>
    <w:basedOn w:val="prastasis"/>
    <w:qFormat/>
    <w:pPr>
      <w:suppressLineNumbers/>
    </w:pPr>
    <w:rPr>
      <w:rFonts w:cs="FreeSans"/>
    </w:rPr>
  </w:style>
  <w:style w:type="paragraph" w:styleId="Debesliotekstas">
    <w:name w:val="Balloon Text"/>
    <w:basedOn w:val="prastasis"/>
    <w:qFormat/>
    <w:rPr>
      <w:rFonts w:ascii="Tahoma" w:hAnsi="Tahoma" w:cs="Tahoma"/>
      <w:sz w:val="16"/>
      <w:szCs w:val="16"/>
    </w:rPr>
  </w:style>
  <w:style w:type="paragraph" w:styleId="Dokumentostruktra">
    <w:name w:val="Document Map"/>
    <w:basedOn w:val="prastasis"/>
    <w:qFormat/>
    <w:pPr>
      <w:shd w:val="clear" w:color="auto" w:fill="000080"/>
    </w:pPr>
    <w:rPr>
      <w:rFonts w:ascii="Tahoma" w:hAnsi="Tahoma" w:cs="Tahoma"/>
      <w:sz w:val="20"/>
      <w:szCs w:val="20"/>
    </w:rPr>
  </w:style>
  <w:style w:type="paragraph" w:styleId="Antrats">
    <w:name w:val="header"/>
    <w:basedOn w:val="prastasis"/>
    <w:pPr>
      <w:tabs>
        <w:tab w:val="center" w:pos="4320"/>
        <w:tab w:val="right" w:pos="8640"/>
      </w:tabs>
    </w:pPr>
    <w:rPr>
      <w:szCs w:val="20"/>
    </w:rPr>
  </w:style>
  <w:style w:type="paragraph" w:styleId="Pagrindinistekstas2">
    <w:name w:val="Body Text 2"/>
    <w:basedOn w:val="prastasis"/>
    <w:qFormat/>
    <w:pPr>
      <w:spacing w:after="120" w:line="480" w:lineRule="auto"/>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SungtiL GB"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rFonts w:ascii="Times New Roman" w:eastAsia="Times New Roman" w:hAnsi="Times New Roman" w:cs="Times New Roman"/>
      <w:sz w:val="24"/>
      <w:lang w:val="lt-LT" w:bidi="ar-SA"/>
    </w:rPr>
  </w:style>
  <w:style w:type="paragraph" w:styleId="Antrat3">
    <w:name w:val="heading 3"/>
    <w:basedOn w:val="prastasis"/>
    <w:next w:val="prastasis"/>
    <w:qFormat/>
    <w:pPr>
      <w:keepNext/>
      <w:numPr>
        <w:ilvl w:val="2"/>
        <w:numId w:val="1"/>
      </w:numPr>
      <w:jc w:val="center"/>
      <w:outlineLvl w:val="2"/>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u w:val="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u w:val="no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u w:val="none"/>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u w:val="no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u w:val="no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u w:val="none"/>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u w:val="no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u w:val="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color w:val="00000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eastAsia="Times New Roman" w:hAnsi="Times New Roman" w:cs="Times New Roman"/>
      <w:b w:val="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Pagrindinistekstas2Diagrama">
    <w:name w:val="Pagrindinis tekstas 2 Diagrama"/>
    <w:qFormat/>
    <w:rPr>
      <w:sz w:val="24"/>
      <w:szCs w:val="24"/>
    </w:rPr>
  </w:style>
  <w:style w:type="character" w:customStyle="1" w:styleId="InternetLink">
    <w:name w:val="Internet Link"/>
    <w:rPr>
      <w:color w:val="000080"/>
      <w:u w:val="single"/>
    </w:rPr>
  </w:style>
  <w:style w:type="paragraph" w:customStyle="1" w:styleId="Heading">
    <w:name w:val="Heading"/>
    <w:basedOn w:val="prastasis"/>
    <w:next w:val="TextBody"/>
    <w:qFormat/>
    <w:pPr>
      <w:keepNext/>
      <w:spacing w:before="240" w:after="120"/>
    </w:pPr>
    <w:rPr>
      <w:rFonts w:ascii="Liberation Sans" w:eastAsia="AR PL SungtiL GB" w:hAnsi="Liberation Sans" w:cs="FreeSans"/>
      <w:sz w:val="28"/>
      <w:szCs w:val="28"/>
    </w:rPr>
  </w:style>
  <w:style w:type="paragraph" w:customStyle="1" w:styleId="TextBody">
    <w:name w:val="Text Body"/>
    <w:basedOn w:val="prastasis"/>
    <w:pPr>
      <w:jc w:val="both"/>
    </w:pPr>
    <w:rPr>
      <w:szCs w:val="20"/>
    </w:rPr>
  </w:style>
  <w:style w:type="paragraph" w:styleId="Sraas">
    <w:name w:val="List"/>
    <w:basedOn w:val="TextBody"/>
    <w:rPr>
      <w:rFonts w:cs="FreeSans"/>
    </w:rPr>
  </w:style>
  <w:style w:type="paragraph" w:styleId="Antrat">
    <w:name w:val="caption"/>
    <w:basedOn w:val="prastasis"/>
    <w:qFormat/>
    <w:pPr>
      <w:suppressLineNumbers/>
      <w:spacing w:before="120" w:after="120"/>
    </w:pPr>
    <w:rPr>
      <w:rFonts w:cs="FreeSans"/>
      <w:i/>
      <w:iCs/>
    </w:rPr>
  </w:style>
  <w:style w:type="paragraph" w:customStyle="1" w:styleId="Index">
    <w:name w:val="Index"/>
    <w:basedOn w:val="prastasis"/>
    <w:qFormat/>
    <w:pPr>
      <w:suppressLineNumbers/>
    </w:pPr>
    <w:rPr>
      <w:rFonts w:cs="FreeSans"/>
    </w:rPr>
  </w:style>
  <w:style w:type="paragraph" w:styleId="Debesliotekstas">
    <w:name w:val="Balloon Text"/>
    <w:basedOn w:val="prastasis"/>
    <w:qFormat/>
    <w:rPr>
      <w:rFonts w:ascii="Tahoma" w:hAnsi="Tahoma" w:cs="Tahoma"/>
      <w:sz w:val="16"/>
      <w:szCs w:val="16"/>
    </w:rPr>
  </w:style>
  <w:style w:type="paragraph" w:styleId="Dokumentostruktra">
    <w:name w:val="Document Map"/>
    <w:basedOn w:val="prastasis"/>
    <w:qFormat/>
    <w:pPr>
      <w:shd w:val="clear" w:color="auto" w:fill="000080"/>
    </w:pPr>
    <w:rPr>
      <w:rFonts w:ascii="Tahoma" w:hAnsi="Tahoma" w:cs="Tahoma"/>
      <w:sz w:val="20"/>
      <w:szCs w:val="20"/>
    </w:rPr>
  </w:style>
  <w:style w:type="paragraph" w:styleId="Antrats">
    <w:name w:val="header"/>
    <w:basedOn w:val="prastasis"/>
    <w:pPr>
      <w:tabs>
        <w:tab w:val="center" w:pos="4320"/>
        <w:tab w:val="right" w:pos="8640"/>
      </w:tabs>
    </w:pPr>
    <w:rPr>
      <w:szCs w:val="20"/>
    </w:rPr>
  </w:style>
  <w:style w:type="paragraph" w:styleId="Pagrindinistekstas2">
    <w:name w:val="Body Text 2"/>
    <w:basedOn w:val="prastasis"/>
    <w:qFormat/>
    <w:pPr>
      <w:spacing w:after="120" w:line="480" w:lineRule="auto"/>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www3.lrs.lt/cgi-bin/preps2?a=370485&amp;b=" TargetMode="External"/><Relationship Id="rId18" Type="http://schemas.openxmlformats.org/officeDocument/2006/relationships/hyperlink" Target="http://www3.lrs.lt/cgi-bin/preps2?a=453392&amp;b="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3.lrs.lt/cgi-bin/preps2?a=327811&amp;b=" TargetMode="External"/><Relationship Id="rId12" Type="http://schemas.openxmlformats.org/officeDocument/2006/relationships/hyperlink" Target="http://www3.lrs.lt/cgi-bin/preps2?a=365492&amp;b=" TargetMode="External"/><Relationship Id="rId17" Type="http://schemas.openxmlformats.org/officeDocument/2006/relationships/hyperlink" Target="http://www3.lrs.lt/cgi-bin/preps2?a=453034&amp;b=" TargetMode="External"/><Relationship Id="rId2" Type="http://schemas.openxmlformats.org/officeDocument/2006/relationships/styles" Target="styles.xml"/><Relationship Id="rId16" Type="http://schemas.openxmlformats.org/officeDocument/2006/relationships/hyperlink" Target="http://www3.lrs.lt/cgi-bin/preps2?a=437029&amp;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3.lrs.lt/cgi-bin/preps2?a=5884&amp;b=" TargetMode="External"/><Relationship Id="rId11" Type="http://schemas.openxmlformats.org/officeDocument/2006/relationships/hyperlink" Target="http://www3.lrs.lt/cgi-bin/preps2?a=362025&amp;b=" TargetMode="External"/><Relationship Id="rId5" Type="http://schemas.openxmlformats.org/officeDocument/2006/relationships/webSettings" Target="webSettings.xml"/><Relationship Id="rId15" Type="http://schemas.openxmlformats.org/officeDocument/2006/relationships/hyperlink" Target="http://www3.lrs.lt/cgi-bin/preps2?a=397375&amp;b=" TargetMode="External"/><Relationship Id="rId10" Type="http://schemas.openxmlformats.org/officeDocument/2006/relationships/hyperlink" Target="http://www3.lrs.lt/cgi-bin/preps2?a=347278&amp;b=" TargetMode="External"/><Relationship Id="rId19" Type="http://schemas.openxmlformats.org/officeDocument/2006/relationships/hyperlink" Target="http://www3.lrs.lt/cgi-bin/preps2?a=477145&amp;b=" TargetMode="External"/><Relationship Id="rId4" Type="http://schemas.openxmlformats.org/officeDocument/2006/relationships/settings" Target="settings.xml"/><Relationship Id="rId9" Type="http://schemas.openxmlformats.org/officeDocument/2006/relationships/hyperlink" Target="http://www3.lrs.lt/cgi-bin/preps2?a=331624&amp;b=" TargetMode="External"/><Relationship Id="rId14" Type="http://schemas.openxmlformats.org/officeDocument/2006/relationships/hyperlink" Target="http://www3.lrs.lt/cgi-bin/preps2?a=377644&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5242</Words>
  <Characters>2989</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Projektas</vt:lpstr>
    </vt:vector>
  </TitlesOfParts>
  <Company>Hewlett-Packard Company</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B.Malinauskiene</dc:creator>
  <cp:lastModifiedBy>Virginija Palaimiene</cp:lastModifiedBy>
  <cp:revision>2</cp:revision>
  <cp:lastPrinted>2013-05-20T11:34:00Z</cp:lastPrinted>
  <dcterms:created xsi:type="dcterms:W3CDTF">2015-07-17T06:31:00Z</dcterms:created>
  <dcterms:modified xsi:type="dcterms:W3CDTF">2015-07-17T06:31:00Z</dcterms:modified>
  <dc:language>en-US</dc:language>
</cp:coreProperties>
</file>