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01" w:rsidRDefault="00243301" w:rsidP="00243301">
      <w:pPr>
        <w:jc w:val="center"/>
        <w:rPr>
          <w:b/>
          <w:sz w:val="28"/>
          <w:szCs w:val="28"/>
        </w:rPr>
      </w:pPr>
      <w:r w:rsidRPr="00243301">
        <w:rPr>
          <w:b/>
          <w:sz w:val="28"/>
          <w:szCs w:val="28"/>
        </w:rPr>
        <w:t>KLAIPĖDOS MIESTO PĖSČIŲJŲ PERĖJŲ SAUGUMO UŽTIKRINIMO IR JUODŲJŲ DĖMIŲ ŠALINIMO</w:t>
      </w:r>
    </w:p>
    <w:p w:rsidR="001070A6" w:rsidRDefault="00243301" w:rsidP="00243301">
      <w:pPr>
        <w:jc w:val="center"/>
        <w:rPr>
          <w:b/>
          <w:sz w:val="28"/>
          <w:szCs w:val="28"/>
        </w:rPr>
      </w:pPr>
      <w:r w:rsidRPr="00243301">
        <w:rPr>
          <w:b/>
          <w:sz w:val="28"/>
          <w:szCs w:val="28"/>
        </w:rPr>
        <w:t xml:space="preserve"> PRIEMONIŲ PLANAS</w:t>
      </w:r>
    </w:p>
    <w:tbl>
      <w:tblPr>
        <w:tblW w:w="1190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3827"/>
        <w:gridCol w:w="2835"/>
      </w:tblGrid>
      <w:tr w:rsidR="009E03F1" w:rsidTr="009E03F1">
        <w:trPr>
          <w:trHeight w:val="600"/>
        </w:trPr>
        <w:tc>
          <w:tcPr>
            <w:tcW w:w="567" w:type="dxa"/>
          </w:tcPr>
          <w:p w:rsidR="009E03F1" w:rsidRPr="004C1926" w:rsidRDefault="009E03F1" w:rsidP="00243301">
            <w:pPr>
              <w:pStyle w:val="Betarp"/>
              <w:rPr>
                <w:b/>
              </w:rPr>
            </w:pPr>
            <w:r w:rsidRPr="004C1926">
              <w:rPr>
                <w:b/>
              </w:rPr>
              <w:t>EIL.</w:t>
            </w:r>
          </w:p>
          <w:p w:rsidR="009E03F1" w:rsidRPr="004C1926" w:rsidRDefault="009E03F1" w:rsidP="00243301">
            <w:pPr>
              <w:pStyle w:val="Betarp"/>
              <w:rPr>
                <w:b/>
              </w:rPr>
            </w:pPr>
            <w:r w:rsidRPr="004C1926">
              <w:rPr>
                <w:b/>
              </w:rPr>
              <w:t>NR.</w:t>
            </w:r>
          </w:p>
        </w:tc>
        <w:tc>
          <w:tcPr>
            <w:tcW w:w="4678" w:type="dxa"/>
          </w:tcPr>
          <w:p w:rsidR="009E03F1" w:rsidRPr="004C1926" w:rsidRDefault="009E03F1" w:rsidP="008D06A9">
            <w:pPr>
              <w:pStyle w:val="Betarp"/>
              <w:rPr>
                <w:b/>
              </w:rPr>
            </w:pPr>
            <w:r>
              <w:rPr>
                <w:b/>
              </w:rPr>
              <w:t xml:space="preserve">PR. NR. LRSM PUNKTAS IR </w:t>
            </w:r>
            <w:r w:rsidRPr="004C1926">
              <w:rPr>
                <w:b/>
              </w:rPr>
              <w:t>VYKDOMOS PRIEMONĖS</w:t>
            </w:r>
            <w:r>
              <w:rPr>
                <w:b/>
              </w:rPr>
              <w:t xml:space="preserve"> </w:t>
            </w:r>
            <w:r w:rsidRPr="004C1926">
              <w:rPr>
                <w:b/>
              </w:rPr>
              <w:t>PAVADINIMAS</w:t>
            </w:r>
          </w:p>
        </w:tc>
        <w:tc>
          <w:tcPr>
            <w:tcW w:w="3827" w:type="dxa"/>
          </w:tcPr>
          <w:p w:rsidR="009E03F1" w:rsidRPr="004C1926" w:rsidRDefault="009E03F1" w:rsidP="00243301">
            <w:pPr>
              <w:pStyle w:val="Betarp"/>
              <w:rPr>
                <w:b/>
              </w:rPr>
            </w:pPr>
            <w:r>
              <w:rPr>
                <w:b/>
              </w:rPr>
              <w:t xml:space="preserve">PR. NR. KADM PUNKTAS IR </w:t>
            </w:r>
            <w:r w:rsidRPr="004C1926">
              <w:rPr>
                <w:b/>
              </w:rPr>
              <w:t>VYKDOMOS PRIEMONĖS</w:t>
            </w:r>
            <w:r>
              <w:rPr>
                <w:b/>
              </w:rPr>
              <w:t xml:space="preserve"> </w:t>
            </w:r>
            <w:r w:rsidRPr="004C1926">
              <w:rPr>
                <w:b/>
              </w:rPr>
              <w:t>PAVADINIMAS</w:t>
            </w:r>
          </w:p>
        </w:tc>
        <w:tc>
          <w:tcPr>
            <w:tcW w:w="2835" w:type="dxa"/>
          </w:tcPr>
          <w:p w:rsidR="009E03F1" w:rsidRPr="004C1926" w:rsidRDefault="009E03F1" w:rsidP="00243301">
            <w:pPr>
              <w:pStyle w:val="Betarp"/>
              <w:rPr>
                <w:b/>
              </w:rPr>
            </w:pPr>
            <w:r w:rsidRPr="004C1926">
              <w:rPr>
                <w:b/>
              </w:rPr>
              <w:t>VYKDYMO ADRESAS</w:t>
            </w:r>
          </w:p>
        </w:tc>
      </w:tr>
      <w:tr w:rsidR="009E03F1" w:rsidTr="009E03F1">
        <w:trPr>
          <w:trHeight w:val="410"/>
        </w:trPr>
        <w:tc>
          <w:tcPr>
            <w:tcW w:w="567" w:type="dxa"/>
          </w:tcPr>
          <w:p w:rsidR="009E03F1" w:rsidRPr="00243301" w:rsidRDefault="009E03F1" w:rsidP="008D06A9">
            <w:pPr>
              <w:pStyle w:val="Betarp"/>
            </w:pPr>
            <w:r>
              <w:t>1.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1. avaringoje pėsčiųjų perėjoje įrengti greičio mažinimo kalnelį, skiriamąją salelę ir kryptinį apšvietimą</w:t>
            </w:r>
          </w:p>
        </w:tc>
        <w:tc>
          <w:tcPr>
            <w:tcW w:w="3827" w:type="dxa"/>
          </w:tcPr>
          <w:p w:rsidR="009E03F1" w:rsidRPr="00243301" w:rsidRDefault="009E03F1" w:rsidP="0071331D">
            <w:pPr>
              <w:pStyle w:val="Betarp"/>
            </w:pPr>
            <w:r>
              <w:t>1. Įrengti iškiliąją pėsčiųjų perėją su saugumo salele ir kryptiniu apšvietimu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 xml:space="preserve">Pėsčiųjų perėja </w:t>
            </w:r>
            <w:r w:rsidRPr="005C2A4C">
              <w:rPr>
                <w:b/>
              </w:rPr>
              <w:t xml:space="preserve">(PP) </w:t>
            </w:r>
            <w:r>
              <w:t>ties Minijos ir Nendrių g. sankryža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2.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2. atstatyti požemines pėsčiųjų perėjas ir panaikinti esamas nesaugias pėsčiųjų perėjas.</w:t>
            </w:r>
          </w:p>
        </w:tc>
        <w:tc>
          <w:tcPr>
            <w:tcW w:w="3827" w:type="dxa"/>
          </w:tcPr>
          <w:p w:rsidR="009E03F1" w:rsidRPr="00243301" w:rsidRDefault="009E03F1" w:rsidP="00E0384E">
            <w:pPr>
              <w:pStyle w:val="Betarp"/>
            </w:pPr>
            <w:r>
              <w:t>2. atstatyti požemines pėsčiųjų perėjas ir panaikinti esamas nesaugias pėsčiųjų perėjas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 xml:space="preserve">Požeminė PP ties Šilutės </w:t>
            </w:r>
            <w:proofErr w:type="spellStart"/>
            <w:r>
              <w:t>pl</w:t>
            </w:r>
            <w:proofErr w:type="spellEnd"/>
            <w:r>
              <w:t>. 48 ir 62</w:t>
            </w:r>
          </w:p>
        </w:tc>
      </w:tr>
      <w:tr w:rsidR="009E03F1" w:rsidRPr="00243301" w:rsidTr="009E03F1">
        <w:trPr>
          <w:trHeight w:val="421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3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3. pėsčiųjų perėjoje įrengti greičio mažinimo kalnelį ir kryptinį apšvietimą</w:t>
            </w:r>
          </w:p>
        </w:tc>
        <w:tc>
          <w:tcPr>
            <w:tcW w:w="3827" w:type="dxa"/>
          </w:tcPr>
          <w:p w:rsidR="009E03F1" w:rsidRPr="00243301" w:rsidRDefault="009E03F1" w:rsidP="00E0384E">
            <w:pPr>
              <w:pStyle w:val="Betarp"/>
            </w:pPr>
            <w:r>
              <w:t>3. įrengti greičio mažinimo kalnelį ir kryptinį apšvietimą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>PP ties S. Dariaus ir S. Girėno g. 8B (kolegija)</w:t>
            </w:r>
          </w:p>
        </w:tc>
      </w:tr>
      <w:tr w:rsidR="009E03F1" w:rsidRPr="00243301" w:rsidTr="009E03F1">
        <w:trPr>
          <w:trHeight w:val="414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4.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4. pėsčiųjų perėjoje įrengti kryptinį apšvietimą</w:t>
            </w:r>
          </w:p>
        </w:tc>
        <w:tc>
          <w:tcPr>
            <w:tcW w:w="3827" w:type="dxa"/>
          </w:tcPr>
          <w:p w:rsidR="009E03F1" w:rsidRPr="00243301" w:rsidRDefault="009E03F1" w:rsidP="00377D24">
            <w:pPr>
              <w:pStyle w:val="Betarp"/>
            </w:pPr>
            <w:r>
              <w:t>4. panaikinti PP®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>PP ties S. Dariaus ir S. Girėno g. 3</w:t>
            </w:r>
          </w:p>
        </w:tc>
      </w:tr>
      <w:tr w:rsidR="009E03F1" w:rsidRPr="00243301" w:rsidTr="009E03F1">
        <w:trPr>
          <w:trHeight w:val="406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5.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5. pėsčiųjų perėjoje įrengti saugumo salelę arba ištįsą greičio mažinimo kalnelį ir abiem atvejais – kryptinį apšvietimą.</w:t>
            </w:r>
          </w:p>
        </w:tc>
        <w:tc>
          <w:tcPr>
            <w:tcW w:w="3827" w:type="dxa"/>
          </w:tcPr>
          <w:p w:rsidR="009E03F1" w:rsidRPr="00243301" w:rsidRDefault="009E03F1" w:rsidP="00AE5006">
            <w:pPr>
              <w:pStyle w:val="Betarp"/>
            </w:pPr>
            <w:r>
              <w:t>5. įrengti saugumo salelę su kryptiniu apšvietimu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 xml:space="preserve">PP ties J. Janonio g. 21 </w:t>
            </w:r>
          </w:p>
        </w:tc>
      </w:tr>
      <w:tr w:rsidR="009E03F1" w:rsidRPr="00243301" w:rsidTr="009E03F1">
        <w:trPr>
          <w:trHeight w:val="425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6.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 xml:space="preserve">6. numatyti trūkstamus šviesoforus kairėje važiuojamosios dalies pusėje </w:t>
            </w:r>
          </w:p>
        </w:tc>
        <w:tc>
          <w:tcPr>
            <w:tcW w:w="3827" w:type="dxa"/>
          </w:tcPr>
          <w:p w:rsidR="009E03F1" w:rsidRPr="00243301" w:rsidRDefault="009E03F1" w:rsidP="00AE5006">
            <w:pPr>
              <w:pStyle w:val="Betarp"/>
            </w:pPr>
            <w:r>
              <w:t>6. rengiamas Detalusis planas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>PP teis Naujosios Uosto g. 24</w:t>
            </w:r>
          </w:p>
        </w:tc>
      </w:tr>
      <w:tr w:rsidR="009E03F1" w:rsidRPr="00243301" w:rsidTr="009E03F1">
        <w:trPr>
          <w:trHeight w:val="403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7.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7. perėjoje įrengti saugumo salelę ir kryptinį apšvietimą</w:t>
            </w:r>
          </w:p>
        </w:tc>
        <w:tc>
          <w:tcPr>
            <w:tcW w:w="3827" w:type="dxa"/>
          </w:tcPr>
          <w:p w:rsidR="009E03F1" w:rsidRPr="00243301" w:rsidRDefault="009E03F1" w:rsidP="0071331D">
            <w:pPr>
              <w:pStyle w:val="Betarp"/>
            </w:pPr>
            <w:r>
              <w:t>7. įrengti saugumo salelę su kryptiniu apšvietimu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>PP Sausio 15-osios ir Rumpiškės g. sankryžoje</w:t>
            </w:r>
          </w:p>
        </w:tc>
      </w:tr>
      <w:tr w:rsidR="009E03F1" w:rsidRPr="00243301" w:rsidTr="009E03F1">
        <w:trPr>
          <w:trHeight w:val="424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8.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8. įrengti saugumo salelę ir kryptinį apšvietimą, o ženklą Nr. 534 perkelti arčiau perėjos važiuojamosios dalies.</w:t>
            </w:r>
          </w:p>
        </w:tc>
        <w:tc>
          <w:tcPr>
            <w:tcW w:w="3827" w:type="dxa"/>
          </w:tcPr>
          <w:p w:rsidR="009E03F1" w:rsidRPr="00243301" w:rsidRDefault="009E03F1" w:rsidP="0071331D">
            <w:pPr>
              <w:pStyle w:val="Betarp"/>
            </w:pPr>
            <w:r>
              <w:t>8. koreguoti PP vietą, įrengti saugumo salelę su kryptiniu apšvietimu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>PP ties Tilžės g. 54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9.</w:t>
            </w:r>
          </w:p>
        </w:tc>
        <w:tc>
          <w:tcPr>
            <w:tcW w:w="4678" w:type="dxa"/>
          </w:tcPr>
          <w:p w:rsidR="009E03F1" w:rsidRPr="00FF0850" w:rsidRDefault="009E03F1" w:rsidP="0071331D">
            <w:pPr>
              <w:pStyle w:val="Betarp"/>
              <w:rPr>
                <w:szCs w:val="24"/>
              </w:rPr>
            </w:pPr>
            <w:r>
              <w:rPr>
                <w:szCs w:val="24"/>
              </w:rPr>
              <w:t>9. visas pėsčiųjų perėjas Baltijos prospekte numatyti skirtingo lygio arba reguliuojamas šviesoforais. Peržiūrėti visų pėsčiųjų perėjų įrengimo vietas ir esant būtinybei jas pakoreguoti.</w:t>
            </w:r>
          </w:p>
        </w:tc>
        <w:tc>
          <w:tcPr>
            <w:tcW w:w="3827" w:type="dxa"/>
          </w:tcPr>
          <w:p w:rsidR="009E03F1" w:rsidRDefault="009E03F1" w:rsidP="0071331D">
            <w:pPr>
              <w:pStyle w:val="Betarp"/>
            </w:pPr>
            <w:r>
              <w:t>9.1. panaikinti PP (130 m)</w:t>
            </w:r>
          </w:p>
          <w:p w:rsidR="009E03F1" w:rsidRDefault="009E03F1" w:rsidP="0071331D">
            <w:pPr>
              <w:pStyle w:val="Betarp"/>
            </w:pPr>
            <w:r>
              <w:t>9.2. įrengti šviesoforais valdomą PP (115 m)</w:t>
            </w:r>
          </w:p>
          <w:p w:rsidR="009E03F1" w:rsidRDefault="009E03F1" w:rsidP="0071331D">
            <w:pPr>
              <w:pStyle w:val="Betarp"/>
            </w:pPr>
            <w:r>
              <w:t>9.3. . įrengti šviesoforais valdomą PP (420 m)</w:t>
            </w:r>
          </w:p>
          <w:p w:rsidR="009E03F1" w:rsidRPr="00243301" w:rsidRDefault="009E03F1" w:rsidP="0071331D">
            <w:pPr>
              <w:pStyle w:val="Betarp"/>
            </w:pPr>
            <w:r>
              <w:t xml:space="preserve">9.4. Perkelti PP 60 m lik Šilutės </w:t>
            </w:r>
            <w:proofErr w:type="spellStart"/>
            <w:r>
              <w:t>pl</w:t>
            </w:r>
            <w:proofErr w:type="spellEnd"/>
            <w:r>
              <w:t>. ir įrengti šviesoforais valdomą (400 m)</w:t>
            </w:r>
          </w:p>
        </w:tc>
        <w:tc>
          <w:tcPr>
            <w:tcW w:w="2835" w:type="dxa"/>
          </w:tcPr>
          <w:p w:rsidR="009E03F1" w:rsidRDefault="009E03F1" w:rsidP="0071331D">
            <w:pPr>
              <w:pStyle w:val="Betarp"/>
            </w:pPr>
            <w:r>
              <w:t xml:space="preserve">PP Baltijos pr. – Šilutės pr. žiedas </w:t>
            </w:r>
          </w:p>
          <w:p w:rsidR="009E03F1" w:rsidRDefault="009E03F1" w:rsidP="0071331D">
            <w:pPr>
              <w:pStyle w:val="Betarp"/>
            </w:pPr>
            <w:r>
              <w:t xml:space="preserve">PP Baltijos pr. 6 </w:t>
            </w:r>
          </w:p>
          <w:p w:rsidR="009E03F1" w:rsidRDefault="009E03F1" w:rsidP="0071331D">
            <w:pPr>
              <w:pStyle w:val="Betarp"/>
            </w:pPr>
            <w:r>
              <w:t xml:space="preserve">PP Baltijos pr. 10 </w:t>
            </w:r>
          </w:p>
          <w:p w:rsidR="009E03F1" w:rsidRPr="00243301" w:rsidRDefault="009E03F1" w:rsidP="0071331D">
            <w:pPr>
              <w:pStyle w:val="Betarp"/>
            </w:pPr>
            <w:r>
              <w:t>PP Baltijos pr. 101 (Taikos pr.)</w:t>
            </w:r>
          </w:p>
        </w:tc>
      </w:tr>
      <w:tr w:rsidR="009E03F1" w:rsidRPr="00243301" w:rsidTr="009E03F1">
        <w:trPr>
          <w:trHeight w:val="407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lastRenderedPageBreak/>
              <w:t>10.</w:t>
            </w:r>
          </w:p>
        </w:tc>
        <w:tc>
          <w:tcPr>
            <w:tcW w:w="4678" w:type="dxa"/>
          </w:tcPr>
          <w:p w:rsidR="009E03F1" w:rsidRDefault="009E03F1" w:rsidP="0071331D">
            <w:pPr>
              <w:pStyle w:val="Betarp"/>
            </w:pPr>
            <w:r>
              <w:t>10. automobilių eismą sankryžoje organizuoti ratu, o pėsčiųjų perėjose įrengti kryptinį apšvietimą.</w:t>
            </w:r>
          </w:p>
          <w:p w:rsidR="009E03F1" w:rsidRPr="00243301" w:rsidRDefault="009E03F1" w:rsidP="0071331D">
            <w:pPr>
              <w:pStyle w:val="Betarp"/>
            </w:pPr>
          </w:p>
        </w:tc>
        <w:tc>
          <w:tcPr>
            <w:tcW w:w="3827" w:type="dxa"/>
            <w:shd w:val="clear" w:color="auto" w:fill="auto"/>
          </w:tcPr>
          <w:p w:rsidR="009E03F1" w:rsidRPr="00243301" w:rsidRDefault="009E03F1" w:rsidP="00287EE4">
            <w:pPr>
              <w:pStyle w:val="Betarp"/>
            </w:pPr>
            <w:r>
              <w:t>10. automobilių eismą sankryžoje organizuoti ratu, o pėsčiųjų perėjose įrengti kryptinį apšvietimą.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>PP Taikos pr., Tiltų g., Kūlių vartų g. ir Galinio pylimo g. sankryžos zonoje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11.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11. panaikinti automobilio statymo vietą (-</w:t>
            </w:r>
            <w:proofErr w:type="spellStart"/>
            <w:r>
              <w:t>as</w:t>
            </w:r>
            <w:proofErr w:type="spellEnd"/>
            <w:r>
              <w:t>) arba perkelti pėsčiųjų perėją taip, kad tarp perėjos ir statomų automobilių liktų ne mažiau kaip 5 m ir įrengti kryptinį apšvietimą.</w:t>
            </w:r>
          </w:p>
        </w:tc>
        <w:tc>
          <w:tcPr>
            <w:tcW w:w="3827" w:type="dxa"/>
          </w:tcPr>
          <w:p w:rsidR="009E03F1" w:rsidRPr="00243301" w:rsidRDefault="009E03F1" w:rsidP="0071331D">
            <w:pPr>
              <w:pStyle w:val="Betarp"/>
            </w:pPr>
            <w:r>
              <w:t>11. perkelti pėsčiųjų perėją į kitą vietą ir įrengti kryptinį apšvietimą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 xml:space="preserve">PP Liepų g. 31 </w:t>
            </w:r>
          </w:p>
        </w:tc>
      </w:tr>
      <w:tr w:rsidR="009E03F1" w:rsidRPr="00243301" w:rsidTr="009E03F1">
        <w:trPr>
          <w:trHeight w:val="421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12.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12. pėsčiųjų perėjose įrengti kryptinį apšvietimą</w:t>
            </w:r>
          </w:p>
        </w:tc>
        <w:tc>
          <w:tcPr>
            <w:tcW w:w="3827" w:type="dxa"/>
          </w:tcPr>
          <w:p w:rsidR="009E03F1" w:rsidRPr="00287EE4" w:rsidRDefault="009E03F1" w:rsidP="00287EE4">
            <w:pPr>
              <w:pStyle w:val="Betarp"/>
            </w:pPr>
            <w:r w:rsidRPr="00287EE4">
              <w:t>12. įrengti kryptinį apšvietimą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>PP Liepų g. 64B (PP Liepų - Pievų g. sankryža) ir Liepų g. 68</w:t>
            </w:r>
          </w:p>
        </w:tc>
      </w:tr>
      <w:tr w:rsidR="009E03F1" w:rsidRPr="00243301" w:rsidTr="009E03F1">
        <w:trPr>
          <w:trHeight w:val="414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13.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13. apie perėjos poreikį ar reikalingas saugos priemones spręsti vadovaujantis pėsčiųjų perėjų įrengimo taisyklėmis.</w:t>
            </w:r>
          </w:p>
        </w:tc>
        <w:tc>
          <w:tcPr>
            <w:tcW w:w="3827" w:type="dxa"/>
          </w:tcPr>
          <w:p w:rsidR="009E03F1" w:rsidRPr="00243301" w:rsidRDefault="009E03F1" w:rsidP="0071331D">
            <w:pPr>
              <w:pStyle w:val="Betarp"/>
            </w:pPr>
            <w:r>
              <w:t>13. planuojama sankryžos rekonstrukcija, pėsčiųjų perėja nesaugi, siūlome panaikinti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>Liepų g. ir Jaunystės g. sankryžoje</w:t>
            </w:r>
          </w:p>
        </w:tc>
      </w:tr>
      <w:tr w:rsidR="009E03F1" w:rsidRPr="00243301" w:rsidTr="009E03F1">
        <w:trPr>
          <w:trHeight w:val="406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14.</w:t>
            </w:r>
          </w:p>
        </w:tc>
        <w:tc>
          <w:tcPr>
            <w:tcW w:w="4678" w:type="dxa"/>
          </w:tcPr>
          <w:p w:rsidR="009E03F1" w:rsidRPr="00243301" w:rsidRDefault="009E03F1" w:rsidP="00C65C10">
            <w:pPr>
              <w:pStyle w:val="Betarp"/>
              <w:jc w:val="both"/>
            </w:pPr>
            <w:r>
              <w:t>14. nesaugias pėsčiųjų perėjas Šiaurės projekte panaikinti</w:t>
            </w:r>
          </w:p>
        </w:tc>
        <w:tc>
          <w:tcPr>
            <w:tcW w:w="3827" w:type="dxa"/>
          </w:tcPr>
          <w:p w:rsidR="009E03F1" w:rsidRDefault="009E03F1" w:rsidP="00E276AB">
            <w:pPr>
              <w:pStyle w:val="Betarp"/>
              <w:jc w:val="both"/>
            </w:pPr>
            <w:r>
              <w:t>14.1. perkelti pėsčiųjų perėją į kitą vietą ir įrengti kryptinį apšvietimą;</w:t>
            </w:r>
          </w:p>
          <w:p w:rsidR="009E03F1" w:rsidRDefault="009E03F1" w:rsidP="00E276AB">
            <w:pPr>
              <w:pStyle w:val="Betarp"/>
              <w:jc w:val="both"/>
            </w:pPr>
            <w:r>
              <w:t xml:space="preserve">14.2. </w:t>
            </w:r>
            <w:r w:rsidRPr="00287EE4">
              <w:t>įrengti kryptinį apšvietimą</w:t>
            </w:r>
            <w:r>
              <w:t>, greitį sumažinti iki 50 km/val.</w:t>
            </w:r>
          </w:p>
          <w:p w:rsidR="009E03F1" w:rsidRPr="007764F6" w:rsidRDefault="009E03F1" w:rsidP="00B57842">
            <w:pPr>
              <w:pStyle w:val="Betarp"/>
              <w:jc w:val="both"/>
              <w:rPr>
                <w:b/>
                <w:i/>
                <w:u w:val="single"/>
              </w:rPr>
            </w:pPr>
            <w:r w:rsidRPr="00B67AFF">
              <w:t xml:space="preserve">14.3. </w:t>
            </w:r>
            <w:r>
              <w:t>panaikinti PP</w:t>
            </w:r>
          </w:p>
          <w:p w:rsidR="009E03F1" w:rsidRDefault="009E03F1" w:rsidP="00E276AB">
            <w:pPr>
              <w:pStyle w:val="Betarp"/>
              <w:jc w:val="both"/>
            </w:pPr>
            <w:r>
              <w:t>14.4. panaikinti, palikti nežymėtą pėsčiųjų perėjimą</w:t>
            </w:r>
          </w:p>
          <w:p w:rsidR="009E03F1" w:rsidRPr="00243301" w:rsidRDefault="009E03F1" w:rsidP="00E276AB">
            <w:pPr>
              <w:pStyle w:val="Betarp"/>
              <w:jc w:val="both"/>
            </w:pPr>
            <w:r>
              <w:t>14.5. panaikinti, palikti nežymėtą pėsčiųjų perėjimą</w:t>
            </w:r>
          </w:p>
        </w:tc>
        <w:tc>
          <w:tcPr>
            <w:tcW w:w="2835" w:type="dxa"/>
          </w:tcPr>
          <w:p w:rsidR="009E03F1" w:rsidRDefault="009E03F1" w:rsidP="00896175">
            <w:pPr>
              <w:pStyle w:val="Betarp"/>
              <w:jc w:val="both"/>
            </w:pPr>
            <w:r>
              <w:t>PP Šiaurės pr. (Liepojos g. 8)</w:t>
            </w:r>
          </w:p>
          <w:p w:rsidR="009E03F1" w:rsidRDefault="009E03F1" w:rsidP="00896175">
            <w:pPr>
              <w:pStyle w:val="Betarp"/>
              <w:jc w:val="both"/>
            </w:pPr>
          </w:p>
          <w:p w:rsidR="009E03F1" w:rsidRDefault="009E03F1" w:rsidP="00896175">
            <w:pPr>
              <w:pStyle w:val="Betarp"/>
              <w:jc w:val="both"/>
            </w:pPr>
            <w:r>
              <w:t>PP ties Pakruojo g.</w:t>
            </w:r>
          </w:p>
          <w:p w:rsidR="009E03F1" w:rsidRDefault="009E03F1" w:rsidP="00896175">
            <w:pPr>
              <w:pStyle w:val="Betarp"/>
              <w:jc w:val="both"/>
            </w:pPr>
          </w:p>
          <w:p w:rsidR="009E03F1" w:rsidRDefault="009E03F1" w:rsidP="00896175">
            <w:pPr>
              <w:pStyle w:val="Betarp"/>
              <w:jc w:val="both"/>
            </w:pPr>
            <w:r>
              <w:t>PP ties prekybos centru</w:t>
            </w:r>
          </w:p>
          <w:p w:rsidR="009E03F1" w:rsidRDefault="009E03F1" w:rsidP="00896175">
            <w:pPr>
              <w:pStyle w:val="Betarp"/>
              <w:jc w:val="both"/>
            </w:pPr>
            <w:r>
              <w:t>PP ties Šiaurės pr.19</w:t>
            </w:r>
          </w:p>
          <w:p w:rsidR="009E03F1" w:rsidRDefault="009E03F1" w:rsidP="00896175">
            <w:pPr>
              <w:pStyle w:val="Betarp"/>
              <w:jc w:val="both"/>
            </w:pPr>
          </w:p>
          <w:p w:rsidR="009E03F1" w:rsidRPr="00243301" w:rsidRDefault="009E03F1" w:rsidP="00896175">
            <w:pPr>
              <w:pStyle w:val="Betarp"/>
              <w:jc w:val="both"/>
            </w:pPr>
            <w:r>
              <w:t>PP Šiaurės pr. – Pievų g.</w:t>
            </w:r>
          </w:p>
        </w:tc>
      </w:tr>
      <w:tr w:rsidR="009E03F1" w:rsidRPr="00243301" w:rsidTr="009E03F1">
        <w:trPr>
          <w:trHeight w:val="425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15.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15. įvertinus pėsčiųjų eismo intensyvumą panaikinti pėsčiųjų perėją arba padidinti jos saugumą vadovaujantis Pėsčiųjų perėjų įrengimo taisyklėmis</w:t>
            </w:r>
          </w:p>
        </w:tc>
        <w:tc>
          <w:tcPr>
            <w:tcW w:w="3827" w:type="dxa"/>
          </w:tcPr>
          <w:p w:rsidR="009E03F1" w:rsidRPr="00243301" w:rsidRDefault="009E03F1" w:rsidP="0071331D">
            <w:pPr>
              <w:pStyle w:val="Betarp"/>
            </w:pPr>
            <w:r>
              <w:t>15. įrengti saugumo salelę su kryptiniu apšvietimu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>PP</w:t>
            </w:r>
            <w:r w:rsidRPr="007564E2">
              <w:t xml:space="preserve"> ties autobusų stotele „Vasaros estrada“.</w:t>
            </w:r>
          </w:p>
        </w:tc>
      </w:tr>
      <w:tr w:rsidR="009E03F1" w:rsidRPr="00243301" w:rsidTr="009E03F1">
        <w:trPr>
          <w:trHeight w:val="403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16.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16. įvertinus pėsčiųjų eismo intensyvumą, panaikinti pėsčiųjų perėją arba padidinti jos saugumą vadovaujantis Pėsčiųjų perėjų įrengimo taisyklėmis.</w:t>
            </w:r>
          </w:p>
        </w:tc>
        <w:tc>
          <w:tcPr>
            <w:tcW w:w="3827" w:type="dxa"/>
          </w:tcPr>
          <w:p w:rsidR="009E03F1" w:rsidRPr="00243301" w:rsidRDefault="009E03F1" w:rsidP="0071331D">
            <w:pPr>
              <w:pStyle w:val="Betarp"/>
            </w:pPr>
            <w:r>
              <w:t>16. įrengti saugumo salelę su kryptiniu apšvietimu</w:t>
            </w:r>
          </w:p>
        </w:tc>
        <w:tc>
          <w:tcPr>
            <w:tcW w:w="2835" w:type="dxa"/>
          </w:tcPr>
          <w:p w:rsidR="009E03F1" w:rsidRPr="00243301" w:rsidRDefault="009E03F1" w:rsidP="0071331D">
            <w:pPr>
              <w:pStyle w:val="Betarp"/>
            </w:pPr>
            <w:r>
              <w:t xml:space="preserve">PP </w:t>
            </w:r>
            <w:r w:rsidRPr="007564E2">
              <w:t>prieš Liepojos g. ir Girininkijos g. sankryžą</w:t>
            </w:r>
          </w:p>
        </w:tc>
      </w:tr>
      <w:tr w:rsidR="009E03F1" w:rsidRPr="00243301" w:rsidTr="009E03F1">
        <w:trPr>
          <w:trHeight w:val="424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17.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17. taikyti perėjos tipą ir eismo saugos priemones pagal Pėsčiųjų perėjų įrengimo taisykles. Būtina koreguoti pėsčiųjų eismo trasą sankryžoje</w:t>
            </w:r>
          </w:p>
        </w:tc>
        <w:tc>
          <w:tcPr>
            <w:tcW w:w="3827" w:type="dxa"/>
          </w:tcPr>
          <w:p w:rsidR="009E03F1" w:rsidRDefault="009E03F1" w:rsidP="0071331D">
            <w:pPr>
              <w:pStyle w:val="Betarp"/>
            </w:pPr>
            <w:r>
              <w:t xml:space="preserve">17.1. </w:t>
            </w:r>
            <w:r w:rsidRPr="00287EE4">
              <w:t>įrengti kryptinį apšvietimą</w:t>
            </w:r>
            <w:r>
              <w:t>;</w:t>
            </w:r>
          </w:p>
          <w:p w:rsidR="009E03F1" w:rsidRDefault="009E03F1" w:rsidP="0071331D">
            <w:pPr>
              <w:pStyle w:val="Betarp"/>
            </w:pPr>
            <w:r>
              <w:t xml:space="preserve">17.2. </w:t>
            </w:r>
            <w:r w:rsidRPr="00287EE4">
              <w:t>įrengti kryptinį apšvietimą</w:t>
            </w:r>
            <w:r>
              <w:t>;</w:t>
            </w:r>
          </w:p>
          <w:p w:rsidR="009E03F1" w:rsidRPr="00243301" w:rsidRDefault="009E03F1" w:rsidP="0071331D">
            <w:pPr>
              <w:pStyle w:val="Betarp"/>
            </w:pPr>
            <w:r>
              <w:t xml:space="preserve">17.3. </w:t>
            </w:r>
            <w:r w:rsidRPr="00287EE4">
              <w:t>įrengti kryptinį apšvietimą</w:t>
            </w:r>
            <w:r>
              <w:t>;</w:t>
            </w:r>
          </w:p>
        </w:tc>
        <w:tc>
          <w:tcPr>
            <w:tcW w:w="2835" w:type="dxa"/>
          </w:tcPr>
          <w:p w:rsidR="009E03F1" w:rsidRDefault="009E03F1" w:rsidP="0071331D">
            <w:pPr>
              <w:pStyle w:val="Betarp"/>
            </w:pPr>
            <w:r w:rsidRPr="007564E2">
              <w:t>PP ties Liepojos g. ir Šiltnamių g. sankryža</w:t>
            </w:r>
          </w:p>
          <w:p w:rsidR="009E03F1" w:rsidRDefault="009E03F1" w:rsidP="0071331D">
            <w:pPr>
              <w:pStyle w:val="Betarp"/>
            </w:pPr>
            <w:r w:rsidRPr="007564E2">
              <w:t xml:space="preserve">PP ties </w:t>
            </w:r>
            <w:r>
              <w:t>Dragūnų gatve</w:t>
            </w:r>
          </w:p>
          <w:p w:rsidR="009E03F1" w:rsidRDefault="009E03F1" w:rsidP="0071331D">
            <w:pPr>
              <w:pStyle w:val="Betarp"/>
            </w:pPr>
          </w:p>
          <w:p w:rsidR="009E03F1" w:rsidRPr="00243301" w:rsidRDefault="009E03F1" w:rsidP="0071331D">
            <w:pPr>
              <w:pStyle w:val="Betarp"/>
            </w:pPr>
            <w:r>
              <w:lastRenderedPageBreak/>
              <w:t>PP ties Miesto ligonine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lastRenderedPageBreak/>
              <w:t>18.</w:t>
            </w:r>
          </w:p>
        </w:tc>
        <w:tc>
          <w:tcPr>
            <w:tcW w:w="4678" w:type="dxa"/>
          </w:tcPr>
          <w:p w:rsidR="009E03F1" w:rsidRDefault="009E03F1" w:rsidP="0071331D">
            <w:pPr>
              <w:pStyle w:val="Betarp"/>
            </w:pPr>
            <w:r>
              <w:t xml:space="preserve">18.1. įvertinus pėsčiųjų eismo intensyvumą, panaikinti pėsčiųjų perėją arba padidinti jos saugumą vadovaujantis Pėsčiųjų perėjų įrengimo taisyklėmis </w:t>
            </w:r>
          </w:p>
          <w:p w:rsidR="009E03F1" w:rsidRPr="00243301" w:rsidRDefault="009E03F1" w:rsidP="0071331D">
            <w:pPr>
              <w:pStyle w:val="Betarp"/>
            </w:pPr>
            <w:r>
              <w:t>18.2. Įvertinus pėsčiųjų eismo intensyvumą, panaikinti pėsčiųjų perėją arba padidinti jos saugumą vadovaujantis Pėsčiųjų perėjų įrengimo taisyklėmis</w:t>
            </w:r>
          </w:p>
        </w:tc>
        <w:tc>
          <w:tcPr>
            <w:tcW w:w="3827" w:type="dxa"/>
          </w:tcPr>
          <w:p w:rsidR="009E03F1" w:rsidRDefault="009E03F1" w:rsidP="00E67B24">
            <w:pPr>
              <w:pStyle w:val="Betarp"/>
              <w:jc w:val="both"/>
            </w:pPr>
            <w:r>
              <w:t>18.1. informuoti VĮ „Klaipėdos regiono keliai“</w:t>
            </w:r>
          </w:p>
          <w:p w:rsidR="009E03F1" w:rsidRDefault="009E03F1" w:rsidP="0071331D">
            <w:pPr>
              <w:pStyle w:val="Betarp"/>
            </w:pPr>
          </w:p>
          <w:p w:rsidR="009E03F1" w:rsidRDefault="009E03F1" w:rsidP="0071331D">
            <w:pPr>
              <w:pStyle w:val="Betarp"/>
            </w:pPr>
          </w:p>
          <w:p w:rsidR="009E03F1" w:rsidRDefault="009E03F1" w:rsidP="00E67B24">
            <w:pPr>
              <w:pStyle w:val="Betarp"/>
              <w:jc w:val="both"/>
            </w:pPr>
            <w:r>
              <w:t>18.2. informuoti VĮ „Klaipėdos regiono keliai“</w:t>
            </w:r>
          </w:p>
          <w:p w:rsidR="009E03F1" w:rsidRDefault="009E03F1" w:rsidP="0071331D">
            <w:pPr>
              <w:pStyle w:val="Betarp"/>
            </w:pPr>
          </w:p>
          <w:p w:rsidR="009E03F1" w:rsidRPr="00243301" w:rsidRDefault="009E03F1" w:rsidP="0071331D">
            <w:pPr>
              <w:pStyle w:val="Betarp"/>
            </w:pPr>
          </w:p>
        </w:tc>
        <w:tc>
          <w:tcPr>
            <w:tcW w:w="2835" w:type="dxa"/>
          </w:tcPr>
          <w:p w:rsidR="009E03F1" w:rsidRDefault="009E03F1" w:rsidP="0071331D">
            <w:pPr>
              <w:pStyle w:val="Betarp"/>
            </w:pPr>
            <w:r>
              <w:t>PP Liepojos g</w:t>
            </w:r>
            <w:r w:rsidRPr="007564E2">
              <w:t>. ties Medelyno g. 18 namu</w:t>
            </w:r>
            <w:r>
              <w:t xml:space="preserve"> (Regiono kelias)</w:t>
            </w:r>
            <w:r w:rsidRPr="007564E2">
              <w:t xml:space="preserve"> </w:t>
            </w:r>
          </w:p>
          <w:p w:rsidR="009E03F1" w:rsidRDefault="009E03F1" w:rsidP="0071331D">
            <w:pPr>
              <w:pStyle w:val="Betarp"/>
            </w:pPr>
          </w:p>
          <w:p w:rsidR="009E03F1" w:rsidRPr="00243301" w:rsidRDefault="009E03F1" w:rsidP="0071331D">
            <w:pPr>
              <w:pStyle w:val="Betarp"/>
            </w:pPr>
            <w:r w:rsidRPr="007564E2">
              <w:t xml:space="preserve">PP Liepojos g. ties Medelyno g. ir </w:t>
            </w:r>
            <w:proofErr w:type="spellStart"/>
            <w:r w:rsidRPr="007564E2">
              <w:t>Labrenciškės</w:t>
            </w:r>
            <w:proofErr w:type="spellEnd"/>
            <w:r w:rsidRPr="007564E2">
              <w:t xml:space="preserve"> g. sankryža.</w:t>
            </w:r>
          </w:p>
        </w:tc>
      </w:tr>
      <w:tr w:rsidR="009E03F1" w:rsidRPr="00243301" w:rsidTr="009E03F1">
        <w:trPr>
          <w:trHeight w:val="407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19.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19. vieną iš perėjų panaikinti ir didinti jų saugą vadovaujantis Pėsčiųjų perėjų įrengimo taisyklėmis.</w:t>
            </w:r>
          </w:p>
        </w:tc>
        <w:tc>
          <w:tcPr>
            <w:tcW w:w="3827" w:type="dxa"/>
          </w:tcPr>
          <w:p w:rsidR="009E03F1" w:rsidRDefault="009E03F1" w:rsidP="0071331D">
            <w:pPr>
              <w:pStyle w:val="Betarp"/>
            </w:pPr>
            <w:r>
              <w:t xml:space="preserve">19.1. </w:t>
            </w:r>
            <w:r w:rsidRPr="00287EE4">
              <w:t>įrengti kryptinį apšvietimą</w:t>
            </w:r>
            <w:r>
              <w:t>;</w:t>
            </w:r>
          </w:p>
          <w:p w:rsidR="009E03F1" w:rsidRDefault="009E03F1" w:rsidP="0071331D">
            <w:pPr>
              <w:pStyle w:val="Betarp"/>
            </w:pPr>
            <w:r>
              <w:t xml:space="preserve">19.2. </w:t>
            </w:r>
            <w:r w:rsidRPr="00287EE4">
              <w:t>įrengti kryptinį apšvietimą</w:t>
            </w:r>
            <w:r>
              <w:t>;</w:t>
            </w:r>
          </w:p>
          <w:p w:rsidR="009E03F1" w:rsidRPr="00243301" w:rsidRDefault="009E03F1" w:rsidP="00F50347">
            <w:pPr>
              <w:pStyle w:val="Betarp"/>
            </w:pPr>
            <w:r>
              <w:t>19.3. siaurinti važiuojamąją gatvės dalį iki dviejų eismo juostų, įrengti saugumo salelę su kryptiniu apšvietimu;</w:t>
            </w:r>
          </w:p>
        </w:tc>
        <w:tc>
          <w:tcPr>
            <w:tcW w:w="2835" w:type="dxa"/>
          </w:tcPr>
          <w:p w:rsidR="009E03F1" w:rsidRDefault="009E03F1" w:rsidP="0071331D">
            <w:pPr>
              <w:pStyle w:val="Betarp"/>
            </w:pPr>
            <w:r>
              <w:t>PP Kretingos g. 92</w:t>
            </w:r>
          </w:p>
          <w:p w:rsidR="009E03F1" w:rsidRDefault="009E03F1" w:rsidP="0071331D">
            <w:pPr>
              <w:pStyle w:val="Betarp"/>
            </w:pPr>
            <w:r>
              <w:t>PP Kretingos – Šiltnamių g. sankryža</w:t>
            </w:r>
          </w:p>
          <w:p w:rsidR="009E03F1" w:rsidRPr="00243301" w:rsidRDefault="009E03F1" w:rsidP="0071331D">
            <w:pPr>
              <w:pStyle w:val="Betarp"/>
            </w:pPr>
            <w:r w:rsidRPr="00362D86">
              <w:t>PP Kretingos g. ties sankryža su Girininkijos g.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243301" w:rsidRDefault="009E03F1" w:rsidP="009D459B">
            <w:pPr>
              <w:pStyle w:val="Betarp"/>
            </w:pPr>
            <w:r>
              <w:t>20.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20. vieną iš perėjų panaikinti ir didinti jų saugą vadovaujantis Pėsčiųjų perėjų įrengimo taisyklėmis.</w:t>
            </w:r>
          </w:p>
        </w:tc>
        <w:tc>
          <w:tcPr>
            <w:tcW w:w="3827" w:type="dxa"/>
          </w:tcPr>
          <w:p w:rsidR="009E03F1" w:rsidRDefault="009E03F1" w:rsidP="0071331D">
            <w:pPr>
              <w:pStyle w:val="Betarp"/>
            </w:pPr>
            <w:r>
              <w:t>20.1. panaikinti vieną pėsčiųjų perėja, susiaurinti važiuojamąją gatvės dalį iki dviejų eismo juostų, įrengti iškiliąją pėsčiųjų perėją su kryptiniu apšvietimu</w:t>
            </w:r>
          </w:p>
          <w:p w:rsidR="009E03F1" w:rsidRPr="00243301" w:rsidRDefault="009E03F1" w:rsidP="0071331D">
            <w:pPr>
              <w:pStyle w:val="Betarp"/>
            </w:pPr>
            <w:r>
              <w:t>20.2. panaikinti pėsčiųjų perėja, palikti nežymėtą pėsčiųjų perėjimą</w:t>
            </w:r>
          </w:p>
        </w:tc>
        <w:tc>
          <w:tcPr>
            <w:tcW w:w="2835" w:type="dxa"/>
          </w:tcPr>
          <w:p w:rsidR="009E03F1" w:rsidRPr="00DB5574" w:rsidRDefault="009E03F1" w:rsidP="0071331D">
            <w:pPr>
              <w:pStyle w:val="Betarp"/>
            </w:pPr>
            <w:r w:rsidRPr="00DB5574">
              <w:t>Pėsčiųjų perėjos ties Kretingos g. 56.</w:t>
            </w:r>
          </w:p>
          <w:p w:rsidR="009E03F1" w:rsidRDefault="009E03F1" w:rsidP="0071331D">
            <w:pPr>
              <w:pStyle w:val="Betarp"/>
            </w:pPr>
          </w:p>
          <w:p w:rsidR="009E03F1" w:rsidRDefault="009E03F1" w:rsidP="0071331D">
            <w:pPr>
              <w:pStyle w:val="Betarp"/>
            </w:pPr>
          </w:p>
          <w:p w:rsidR="009E03F1" w:rsidRPr="00243301" w:rsidRDefault="009E03F1" w:rsidP="0071331D">
            <w:pPr>
              <w:pStyle w:val="Betarp"/>
            </w:pPr>
            <w:r>
              <w:t>PP ties Kretingos g. 50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243301" w:rsidRDefault="009E03F1" w:rsidP="00F00A93">
            <w:pPr>
              <w:pStyle w:val="Betarp"/>
            </w:pPr>
            <w:r>
              <w:t>21.</w:t>
            </w:r>
          </w:p>
        </w:tc>
        <w:tc>
          <w:tcPr>
            <w:tcW w:w="4678" w:type="dxa"/>
          </w:tcPr>
          <w:p w:rsidR="009E03F1" w:rsidRDefault="009E03F1" w:rsidP="0071331D">
            <w:pPr>
              <w:pStyle w:val="Betarp"/>
            </w:pPr>
            <w:r>
              <w:t>21. panaikinti pėsčiųjų perėją</w:t>
            </w:r>
          </w:p>
        </w:tc>
        <w:tc>
          <w:tcPr>
            <w:tcW w:w="3827" w:type="dxa"/>
          </w:tcPr>
          <w:p w:rsidR="009E03F1" w:rsidRPr="00976C7F" w:rsidRDefault="009E03F1" w:rsidP="00976C7F">
            <w:pPr>
              <w:pStyle w:val="Antrat1"/>
              <w:shd w:val="clear" w:color="auto" w:fill="FFFFFF"/>
              <w:spacing w:before="0" w:after="75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  <w:lang w:eastAsia="lt-LT"/>
              </w:rPr>
            </w:pPr>
            <w:r w:rsidRPr="00976C7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21. panaikinti pėsčiųjų perėją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suderinus su</w:t>
            </w:r>
            <w:r w:rsidRPr="00976C7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976C7F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  <w:lang w:eastAsia="lt-LT"/>
              </w:rPr>
              <w:t>Lietuvos aklųjų ir silpnaregių są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  <w:lang w:eastAsia="lt-LT"/>
              </w:rPr>
              <w:t>junga, Klaipėdos miesto filialu</w:t>
            </w:r>
          </w:p>
        </w:tc>
        <w:tc>
          <w:tcPr>
            <w:tcW w:w="2835" w:type="dxa"/>
          </w:tcPr>
          <w:p w:rsidR="009E03F1" w:rsidRPr="00362D86" w:rsidRDefault="009E03F1" w:rsidP="0071331D">
            <w:pPr>
              <w:pStyle w:val="Betarp"/>
            </w:pPr>
            <w:r>
              <w:t>PP</w:t>
            </w:r>
            <w:r w:rsidRPr="00DB5574">
              <w:t xml:space="preserve"> ties Kretingos g. 97</w:t>
            </w:r>
          </w:p>
        </w:tc>
      </w:tr>
      <w:tr w:rsidR="009E03F1" w:rsidRPr="00243301" w:rsidTr="009E03F1">
        <w:trPr>
          <w:trHeight w:val="421"/>
        </w:trPr>
        <w:tc>
          <w:tcPr>
            <w:tcW w:w="567" w:type="dxa"/>
          </w:tcPr>
          <w:p w:rsidR="009E03F1" w:rsidRPr="00243301" w:rsidRDefault="009E03F1" w:rsidP="00F00A93">
            <w:pPr>
              <w:pStyle w:val="Betarp"/>
            </w:pPr>
            <w:r>
              <w:t>22.</w:t>
            </w:r>
          </w:p>
        </w:tc>
        <w:tc>
          <w:tcPr>
            <w:tcW w:w="4678" w:type="dxa"/>
          </w:tcPr>
          <w:p w:rsidR="009E03F1" w:rsidRPr="00243301" w:rsidRDefault="009E03F1" w:rsidP="0071331D">
            <w:pPr>
              <w:pStyle w:val="Betarp"/>
            </w:pPr>
            <w:r>
              <w:t>22. įrengti pėsčiųjų saugumo salelę</w:t>
            </w:r>
          </w:p>
        </w:tc>
        <w:tc>
          <w:tcPr>
            <w:tcW w:w="3827" w:type="dxa"/>
          </w:tcPr>
          <w:p w:rsidR="009E03F1" w:rsidRPr="00243301" w:rsidRDefault="009E03F1" w:rsidP="00281723">
            <w:pPr>
              <w:pStyle w:val="Betarp"/>
              <w:jc w:val="both"/>
            </w:pPr>
            <w:r>
              <w:t>22. susiaurinti važiuojamąją gatvės dalį iki dviejų eismo juostų, įrengti iškiliąją pėsčiųjų perėją su kryptiniu apšvietimu</w:t>
            </w:r>
          </w:p>
        </w:tc>
        <w:tc>
          <w:tcPr>
            <w:tcW w:w="2835" w:type="dxa"/>
          </w:tcPr>
          <w:p w:rsidR="009E03F1" w:rsidRPr="007564E2" w:rsidRDefault="009E03F1" w:rsidP="0071331D">
            <w:pPr>
              <w:pStyle w:val="Betarp"/>
            </w:pPr>
            <w:r>
              <w:t>PP ties Kretingos g. 103</w:t>
            </w:r>
          </w:p>
        </w:tc>
      </w:tr>
      <w:tr w:rsidR="009E03F1" w:rsidRPr="00243301" w:rsidTr="009E03F1">
        <w:trPr>
          <w:trHeight w:val="414"/>
        </w:trPr>
        <w:tc>
          <w:tcPr>
            <w:tcW w:w="567" w:type="dxa"/>
          </w:tcPr>
          <w:p w:rsidR="009E03F1" w:rsidRPr="00243301" w:rsidRDefault="009E03F1" w:rsidP="00F00A93">
            <w:pPr>
              <w:pStyle w:val="Betarp"/>
            </w:pPr>
            <w:r>
              <w:t>23.</w:t>
            </w:r>
          </w:p>
        </w:tc>
        <w:tc>
          <w:tcPr>
            <w:tcW w:w="4678" w:type="dxa"/>
          </w:tcPr>
          <w:p w:rsidR="009E03F1" w:rsidRPr="00243301" w:rsidRDefault="009E03F1" w:rsidP="00345724">
            <w:pPr>
              <w:pStyle w:val="Betarp"/>
              <w:jc w:val="both"/>
            </w:pPr>
            <w:r>
              <w:t>23. sankryžose naikinti po 1 pėsčiųjų perėja</w:t>
            </w:r>
          </w:p>
        </w:tc>
        <w:tc>
          <w:tcPr>
            <w:tcW w:w="3827" w:type="dxa"/>
          </w:tcPr>
          <w:p w:rsidR="009E03F1" w:rsidRPr="00487B28" w:rsidRDefault="009E03F1" w:rsidP="001D5FB7">
            <w:pPr>
              <w:pStyle w:val="Betarp"/>
            </w:pPr>
            <w:r w:rsidRPr="00487B28">
              <w:t xml:space="preserve">23.1. </w:t>
            </w:r>
            <w:r w:rsidRPr="00287EE4">
              <w:t>įrengti kryptinį apšvietimą</w:t>
            </w:r>
            <w:r>
              <w:t>;</w:t>
            </w:r>
          </w:p>
          <w:p w:rsidR="009E03F1" w:rsidRPr="00487B28" w:rsidRDefault="009E03F1" w:rsidP="001D5FB7">
            <w:pPr>
              <w:pStyle w:val="Betarp"/>
            </w:pPr>
            <w:r w:rsidRPr="00487B28">
              <w:t xml:space="preserve">23.2. </w:t>
            </w:r>
            <w:r w:rsidRPr="00287EE4">
              <w:t>įrengti kryptinį apšvietimą</w:t>
            </w:r>
            <w:r>
              <w:t>;</w:t>
            </w:r>
          </w:p>
          <w:p w:rsidR="009E03F1" w:rsidRPr="007564E2" w:rsidRDefault="009E03F1" w:rsidP="00AD3377">
            <w:pPr>
              <w:pStyle w:val="Betarp"/>
            </w:pPr>
            <w:r w:rsidRPr="00487B28">
              <w:t xml:space="preserve">23.3. panaikinti vieną pėsčiųjų perėja, susiaurinti važiuojamąją gatvės dalį iki dviejų eismo juostų, </w:t>
            </w:r>
            <w:r w:rsidRPr="00287EE4">
              <w:t xml:space="preserve">įrengti </w:t>
            </w:r>
            <w:r>
              <w:t>saugumo salelę su kryptiniu apšvietimu;</w:t>
            </w:r>
            <w:r w:rsidRPr="00487B28">
              <w:t xml:space="preserve"> </w:t>
            </w:r>
          </w:p>
        </w:tc>
        <w:tc>
          <w:tcPr>
            <w:tcW w:w="2835" w:type="dxa"/>
          </w:tcPr>
          <w:p w:rsidR="009E03F1" w:rsidRDefault="009E03F1" w:rsidP="001D5FB7">
            <w:pPr>
              <w:pStyle w:val="Betarp"/>
            </w:pPr>
            <w:r>
              <w:t>PP ties Kretingos 63</w:t>
            </w:r>
          </w:p>
          <w:p w:rsidR="009E03F1" w:rsidRDefault="009E03F1" w:rsidP="001D5FB7">
            <w:pPr>
              <w:pStyle w:val="Betarp"/>
            </w:pPr>
            <w:r>
              <w:t>PP ties Kretingos – Kaštonų g. sankryža</w:t>
            </w:r>
          </w:p>
          <w:p w:rsidR="009E03F1" w:rsidRPr="00DB5574" w:rsidRDefault="009E03F1" w:rsidP="001D5FB7">
            <w:pPr>
              <w:pStyle w:val="Betarp"/>
            </w:pPr>
            <w:r>
              <w:t xml:space="preserve">PP </w:t>
            </w:r>
            <w:r w:rsidRPr="00DB5574">
              <w:t xml:space="preserve">Kretingos g., Klevų g. ir </w:t>
            </w:r>
            <w:proofErr w:type="spellStart"/>
            <w:r w:rsidRPr="00DB5574">
              <w:t>Vilhemo</w:t>
            </w:r>
            <w:proofErr w:type="spellEnd"/>
            <w:r w:rsidRPr="00DB5574">
              <w:t xml:space="preserve"> </w:t>
            </w:r>
            <w:proofErr w:type="spellStart"/>
            <w:r w:rsidRPr="00DB5574">
              <w:t>Berbomo</w:t>
            </w:r>
            <w:proofErr w:type="spellEnd"/>
            <w:r w:rsidRPr="00DB5574">
              <w:t xml:space="preserve"> sankryža</w:t>
            </w:r>
          </w:p>
          <w:p w:rsidR="009E03F1" w:rsidRPr="007564E2" w:rsidRDefault="009E03F1" w:rsidP="001D5FB7">
            <w:pPr>
              <w:pStyle w:val="Betarp"/>
            </w:pPr>
          </w:p>
        </w:tc>
      </w:tr>
      <w:tr w:rsidR="009E03F1" w:rsidRPr="00243301" w:rsidTr="009E03F1">
        <w:trPr>
          <w:trHeight w:val="406"/>
        </w:trPr>
        <w:tc>
          <w:tcPr>
            <w:tcW w:w="567" w:type="dxa"/>
          </w:tcPr>
          <w:p w:rsidR="009E03F1" w:rsidRPr="00243301" w:rsidRDefault="009E03F1" w:rsidP="00F00A93">
            <w:pPr>
              <w:pStyle w:val="Betarp"/>
            </w:pPr>
            <w:r>
              <w:t>24.</w:t>
            </w:r>
          </w:p>
        </w:tc>
        <w:tc>
          <w:tcPr>
            <w:tcW w:w="4678" w:type="dxa"/>
          </w:tcPr>
          <w:p w:rsidR="009E03F1" w:rsidRPr="00243301" w:rsidRDefault="009E03F1" w:rsidP="00C65C10">
            <w:pPr>
              <w:pStyle w:val="Betarp"/>
              <w:jc w:val="both"/>
            </w:pPr>
            <w:r>
              <w:t xml:space="preserve">Komisija rekomenduoja visas avaringas Klaipėdos miesto pėsčiųjų perėjas modernizuoti </w:t>
            </w:r>
            <w:r>
              <w:lastRenderedPageBreak/>
              <w:t>atsižvelgiant pirmiausia į Pėsčiųjų perėjų įrengimo taisyklių, patvirtintų Lietuvos automobilių kelių direkcijos prie Susisiekimo ministerijos direktoriaus 2012 m. rugpjūčio 24 d. įsakymu Nr. V-239 (</w:t>
            </w:r>
            <w:proofErr w:type="spellStart"/>
            <w:r>
              <w:t>Žin</w:t>
            </w:r>
            <w:proofErr w:type="spellEnd"/>
            <w:r>
              <w:t>., 2012, Nr. 102-5226), nuostatas, jeigu joms prieštarauja komisijos pasiūlyti sprendimai</w:t>
            </w:r>
          </w:p>
        </w:tc>
        <w:tc>
          <w:tcPr>
            <w:tcW w:w="3827" w:type="dxa"/>
          </w:tcPr>
          <w:p w:rsidR="009E03F1" w:rsidRPr="007564E2" w:rsidRDefault="009E03F1" w:rsidP="00C65C10">
            <w:pPr>
              <w:pStyle w:val="Betarp"/>
              <w:jc w:val="both"/>
            </w:pPr>
          </w:p>
        </w:tc>
        <w:tc>
          <w:tcPr>
            <w:tcW w:w="2835" w:type="dxa"/>
          </w:tcPr>
          <w:p w:rsidR="009E03F1" w:rsidRPr="007564E2" w:rsidRDefault="009E03F1" w:rsidP="009D494F">
            <w:pPr>
              <w:tabs>
                <w:tab w:val="left" w:pos="709"/>
              </w:tabs>
              <w:spacing w:after="0"/>
              <w:jc w:val="both"/>
            </w:pPr>
          </w:p>
        </w:tc>
      </w:tr>
      <w:tr w:rsidR="009E03F1" w:rsidRPr="00243301" w:rsidTr="009E03F1">
        <w:trPr>
          <w:trHeight w:val="403"/>
        </w:trPr>
        <w:tc>
          <w:tcPr>
            <w:tcW w:w="567" w:type="dxa"/>
            <w:tcBorders>
              <w:right w:val="nil"/>
            </w:tcBorders>
          </w:tcPr>
          <w:p w:rsidR="009E03F1" w:rsidRPr="00243301" w:rsidRDefault="009E03F1" w:rsidP="009D459B">
            <w:pPr>
              <w:pStyle w:val="Betarp"/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9E03F1" w:rsidRPr="007564E2" w:rsidRDefault="009E03F1" w:rsidP="007564E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9E03F1" w:rsidRPr="00B46928" w:rsidRDefault="009E03F1" w:rsidP="00B46928">
            <w:pPr>
              <w:spacing w:after="120"/>
              <w:jc w:val="center"/>
              <w:rPr>
                <w:b/>
              </w:rPr>
            </w:pPr>
            <w:r w:rsidRPr="00B46928">
              <w:rPr>
                <w:b/>
              </w:rPr>
              <w:t>JUODŲJŲ DĖMIŲ APŽIŪROS REZULTATAI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E03F1" w:rsidRPr="007564E2" w:rsidRDefault="009E03F1" w:rsidP="00B53655">
            <w:pPr>
              <w:pStyle w:val="Betarp"/>
              <w:jc w:val="both"/>
            </w:pPr>
          </w:p>
        </w:tc>
      </w:tr>
      <w:tr w:rsidR="009E03F1" w:rsidRPr="00243301" w:rsidTr="009E03F1">
        <w:trPr>
          <w:trHeight w:val="424"/>
        </w:trPr>
        <w:tc>
          <w:tcPr>
            <w:tcW w:w="567" w:type="dxa"/>
          </w:tcPr>
          <w:p w:rsidR="009E03F1" w:rsidRPr="005F7CF6" w:rsidRDefault="009E03F1" w:rsidP="00EA1458">
            <w:r>
              <w:t>25</w:t>
            </w:r>
            <w:r w:rsidRPr="005F7CF6">
              <w:t>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1. Atsižvelgiant į eismo įvykių aplinkybes, juodoji dėmė šioje sankryžoje susiformavo dėl nesaugios pėsčiųjų perėjos. Kadangi šalia sankryžos yra požeminis praėjimas – pėsčiųjų perėja panaikinta. Komisija rekomenduoja pritarti įgyvendintai priemonei ir stebėti jos poveikį</w:t>
            </w:r>
          </w:p>
        </w:tc>
        <w:tc>
          <w:tcPr>
            <w:tcW w:w="3827" w:type="dxa"/>
          </w:tcPr>
          <w:p w:rsidR="009E03F1" w:rsidRPr="007564E2" w:rsidRDefault="009E03F1" w:rsidP="00BC30A8">
            <w:pPr>
              <w:pStyle w:val="Betarp"/>
            </w:pPr>
            <w:r>
              <w:t>1. taip</w:t>
            </w:r>
          </w:p>
        </w:tc>
        <w:tc>
          <w:tcPr>
            <w:tcW w:w="2835" w:type="dxa"/>
          </w:tcPr>
          <w:p w:rsidR="009E03F1" w:rsidRPr="00B46928" w:rsidRDefault="009E03F1" w:rsidP="00BC30A8">
            <w:pPr>
              <w:pStyle w:val="Betarp"/>
            </w:pPr>
            <w:r w:rsidRPr="00B46928">
              <w:t>Naujosios uosto ir Danės gatv</w:t>
            </w:r>
            <w:r>
              <w:t>ių sankryžoje (sankryžos Nr. 4)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5F7CF6" w:rsidRDefault="009E03F1" w:rsidP="00EA1458">
            <w:r>
              <w:t>26.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2. Sankryžoje užfiksuota įvairaus pobūdžio eismo įvykių, kuriuos iš dalies lemia sudėtinga sankryžos konfigūracija ir galimybė važiuoti dideliu greičiu. Komisija rekomenduoja rekonstruoti sankryžą į žiedinę ar reguliuojamą šviesoforais</w:t>
            </w:r>
          </w:p>
        </w:tc>
        <w:tc>
          <w:tcPr>
            <w:tcW w:w="3827" w:type="dxa"/>
          </w:tcPr>
          <w:p w:rsidR="009E03F1" w:rsidRPr="00362D86" w:rsidRDefault="009E03F1" w:rsidP="00BC30A8">
            <w:pPr>
              <w:pStyle w:val="Betarp"/>
            </w:pPr>
            <w:r>
              <w:t>2. Sankryžoje užfiksuota įvairaus pobūdžio eismo įvykių, kuriuos iš dalies lemia sudėtinga sankryžos konfigūracija ir galimybė važiuoti dideliu greičiu. Komisija rekomenduoja rekonstruoti sankryžą į žiedinę ar reguliuojamą šviesoforais</w:t>
            </w:r>
          </w:p>
        </w:tc>
        <w:tc>
          <w:tcPr>
            <w:tcW w:w="2835" w:type="dxa"/>
          </w:tcPr>
          <w:p w:rsidR="009E03F1" w:rsidRPr="005F6259" w:rsidRDefault="009E03F1" w:rsidP="00BC30A8">
            <w:pPr>
              <w:pStyle w:val="Betarp"/>
            </w:pPr>
            <w:r w:rsidRPr="00B46928">
              <w:t xml:space="preserve">Liepojos ir Panevėžio </w:t>
            </w:r>
            <w:r>
              <w:t>g. sankryžoje (sankryžos Nr. 6)</w:t>
            </w:r>
          </w:p>
        </w:tc>
      </w:tr>
      <w:tr w:rsidR="009E03F1" w:rsidRPr="00243301" w:rsidTr="009E03F1">
        <w:trPr>
          <w:trHeight w:val="407"/>
        </w:trPr>
        <w:tc>
          <w:tcPr>
            <w:tcW w:w="567" w:type="dxa"/>
          </w:tcPr>
          <w:p w:rsidR="009E03F1" w:rsidRPr="005F7CF6" w:rsidRDefault="009E03F1" w:rsidP="00EA1458">
            <w:r>
              <w:t>27.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 xml:space="preserve">3. šviesoforų signalų ryškumas sankryžoje yra nepakankamas. Rekomenduojama, esant poreikiui, pakeisti šviesoforų signalus ryškesniais signalais ir, įvertinus įtaką sankryžos laidumui, Šilutės </w:t>
            </w:r>
            <w:proofErr w:type="spellStart"/>
            <w:r>
              <w:t>pl</w:t>
            </w:r>
            <w:proofErr w:type="spellEnd"/>
            <w:r>
              <w:t>. organizuoti apsaugotus kairiojo posūkio manevrus, taikant atskirus šviesoforų korpusus su rodyklėmis į kairę</w:t>
            </w:r>
          </w:p>
        </w:tc>
        <w:tc>
          <w:tcPr>
            <w:tcW w:w="3827" w:type="dxa"/>
          </w:tcPr>
          <w:p w:rsidR="009E03F1" w:rsidRPr="005F6259" w:rsidRDefault="009E03F1" w:rsidP="00BC30A8">
            <w:pPr>
              <w:pStyle w:val="Betarp"/>
            </w:pPr>
            <w:r>
              <w:t xml:space="preserve">3. pakeisti šviesoforų signalus ryškesniais signalais ir, įvertinus įtaką sankryžos laidumui, Šilutės </w:t>
            </w:r>
            <w:proofErr w:type="spellStart"/>
            <w:r>
              <w:t>pl</w:t>
            </w:r>
            <w:proofErr w:type="spellEnd"/>
            <w:r>
              <w:t>. organizuoti apsaugotus kairiojo posūkio manevrus, taikant atskirus šviesoforų korpusus su rodyklėmis į kairę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B46928">
              <w:t>Šilutės plento ir Statybininkų pr</w:t>
            </w:r>
            <w:r>
              <w:t>. sankryžoje (sankryžos Nr. 30)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5F7CF6" w:rsidRDefault="009E03F1" w:rsidP="00EA1458">
            <w:r>
              <w:t>28.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4. įvertinus poveikį sankryžos laidumui, šviesoforo darbo cikle įvesti papildomą fazę, taip jų kiekį padidinant nuo dviejų iki trijų fazių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>4. įvertinus poveikį sankryžos laidumui, šviesoforo darbo cikle įvesti papildomą fazę, taip jų kiekį padidinant nuo dviejų iki trijų fazių</w:t>
            </w:r>
          </w:p>
        </w:tc>
        <w:tc>
          <w:tcPr>
            <w:tcW w:w="2835" w:type="dxa"/>
          </w:tcPr>
          <w:p w:rsidR="009E03F1" w:rsidRPr="00B46928" w:rsidRDefault="009E03F1" w:rsidP="00BC30A8">
            <w:pPr>
              <w:pStyle w:val="Betarp"/>
            </w:pPr>
            <w:r w:rsidRPr="00B46928">
              <w:t>Smiltelės ir Laukininkų g</w:t>
            </w:r>
            <w:r>
              <w:t>. sankryžoje (sankryžos Nr. 29)</w:t>
            </w:r>
          </w:p>
        </w:tc>
      </w:tr>
      <w:tr w:rsidR="009E03F1" w:rsidRPr="00243301" w:rsidTr="009E03F1">
        <w:trPr>
          <w:trHeight w:val="421"/>
        </w:trPr>
        <w:tc>
          <w:tcPr>
            <w:tcW w:w="567" w:type="dxa"/>
          </w:tcPr>
          <w:p w:rsidR="009E03F1" w:rsidRPr="005F7CF6" w:rsidRDefault="009E03F1" w:rsidP="00EA1458">
            <w:r>
              <w:lastRenderedPageBreak/>
              <w:t>29.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5. Atsižvelgiant į sankryžos avaringumą, komisija rekomenduoja sankryžoje naktimis neišjungti šviesoforų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>5. naktimis neišjungti šviesoforų</w:t>
            </w:r>
          </w:p>
        </w:tc>
        <w:tc>
          <w:tcPr>
            <w:tcW w:w="2835" w:type="dxa"/>
          </w:tcPr>
          <w:p w:rsidR="009E03F1" w:rsidRPr="001C4B60" w:rsidRDefault="009E03F1" w:rsidP="00BC30A8">
            <w:pPr>
              <w:pStyle w:val="Betarp"/>
            </w:pPr>
            <w:r w:rsidRPr="001C4B60">
              <w:t>Taikos pr. ir Smiltelės g</w:t>
            </w:r>
            <w:r>
              <w:t>. sankryžoje (sankryžos Nr. 27)</w:t>
            </w:r>
          </w:p>
          <w:p w:rsidR="009E03F1" w:rsidRPr="00243301" w:rsidRDefault="009E03F1" w:rsidP="00BC30A8">
            <w:pPr>
              <w:pStyle w:val="Betarp"/>
            </w:pPr>
          </w:p>
        </w:tc>
      </w:tr>
      <w:tr w:rsidR="009E03F1" w:rsidRPr="00243301" w:rsidTr="009E03F1">
        <w:trPr>
          <w:trHeight w:val="414"/>
        </w:trPr>
        <w:tc>
          <w:tcPr>
            <w:tcW w:w="567" w:type="dxa"/>
          </w:tcPr>
          <w:p w:rsidR="009E03F1" w:rsidRPr="005F7CF6" w:rsidRDefault="009E03F1" w:rsidP="00EA1458">
            <w:r>
              <w:t>30.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 xml:space="preserve">6. avaringoje pėsčiųjų perėjoje įrengti </w:t>
            </w:r>
            <w:proofErr w:type="spellStart"/>
            <w:r>
              <w:t>šviesoforinį</w:t>
            </w:r>
            <w:proofErr w:type="spellEnd"/>
            <w:r>
              <w:t xml:space="preserve"> eismo reguliavimą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 xml:space="preserve">6. įrengti </w:t>
            </w:r>
            <w:proofErr w:type="spellStart"/>
            <w:r>
              <w:t>šviesoforinį</w:t>
            </w:r>
            <w:proofErr w:type="spellEnd"/>
            <w:r>
              <w:t xml:space="preserve"> eismo reguliavimą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>
              <w:t>Taikos prospekte (ruožo Nr. 19)</w:t>
            </w:r>
          </w:p>
        </w:tc>
      </w:tr>
      <w:tr w:rsidR="009E03F1" w:rsidRPr="00243301" w:rsidTr="009E03F1">
        <w:trPr>
          <w:trHeight w:val="406"/>
        </w:trPr>
        <w:tc>
          <w:tcPr>
            <w:tcW w:w="567" w:type="dxa"/>
          </w:tcPr>
          <w:p w:rsidR="009E03F1" w:rsidRPr="005F7CF6" w:rsidRDefault="009E03F1" w:rsidP="00EA1458">
            <w:r>
              <w:t>31.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7. panaikintos pėsčiųjų perėjoje vietoje, o esant galimybei kartu ir visoje sankryžoje, įrengti eismo reguliavimą šviesoforais</w:t>
            </w:r>
          </w:p>
        </w:tc>
        <w:tc>
          <w:tcPr>
            <w:tcW w:w="3827" w:type="dxa"/>
          </w:tcPr>
          <w:p w:rsidR="009E03F1" w:rsidRPr="00243301" w:rsidRDefault="009E03F1" w:rsidP="00190856">
            <w:pPr>
              <w:pStyle w:val="Betarp"/>
            </w:pPr>
            <w:r>
              <w:t>7. PP jau panaikinta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1C4B60">
              <w:t>Taikos pr. ir Raudonės gatvi</w:t>
            </w:r>
            <w:r>
              <w:t>ų sankryžoje (sankryžos Nr. 24)</w:t>
            </w:r>
          </w:p>
        </w:tc>
      </w:tr>
      <w:tr w:rsidR="009E03F1" w:rsidRPr="00243301" w:rsidTr="009E03F1">
        <w:trPr>
          <w:trHeight w:val="425"/>
        </w:trPr>
        <w:tc>
          <w:tcPr>
            <w:tcW w:w="567" w:type="dxa"/>
          </w:tcPr>
          <w:p w:rsidR="009E03F1" w:rsidRPr="005F7CF6" w:rsidRDefault="009E03F1" w:rsidP="00EA1458">
            <w:r>
              <w:t>32.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8. sankryžoje naktimis neišjungti šviesoforų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>8. naktimis neišjungti šviesoforų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3064FB">
              <w:t>Taikos pr. ir Kauno gatvi</w:t>
            </w:r>
            <w:r>
              <w:t>ų sankryžoje (sankryžos Nr. 18)</w:t>
            </w:r>
          </w:p>
        </w:tc>
      </w:tr>
      <w:tr w:rsidR="009E03F1" w:rsidRPr="00243301" w:rsidTr="009E03F1">
        <w:trPr>
          <w:trHeight w:val="403"/>
        </w:trPr>
        <w:tc>
          <w:tcPr>
            <w:tcW w:w="567" w:type="dxa"/>
          </w:tcPr>
          <w:p w:rsidR="009E03F1" w:rsidRPr="005F7CF6" w:rsidRDefault="009E03F1" w:rsidP="00EA1458">
            <w:r>
              <w:t>33.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 xml:space="preserve">9. </w:t>
            </w:r>
            <w:r w:rsidRPr="003064FB">
              <w:t>dviračių pervažoje eismą reguliuoti šviesoforais kurie veiktų</w:t>
            </w:r>
            <w:r>
              <w:t xml:space="preserve"> kartu su pėsčiųjų šviesoforais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>9.</w:t>
            </w:r>
            <w:r w:rsidRPr="003064FB">
              <w:t xml:space="preserve"> dviračių pervažoje eismą reguliuoti šviesoforais kurie veiktų</w:t>
            </w:r>
            <w:r>
              <w:t xml:space="preserve"> kartu su pėsčiųjų šviesoforais, arba įrengti iškiliąją pėsčiųjų dviračių perėją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3064FB">
              <w:t>Taikos pr. ir Paryžiaus Komunos g</w:t>
            </w:r>
            <w:r>
              <w:t>. sankryžoje (sankryžos Nr. 15)</w:t>
            </w:r>
          </w:p>
        </w:tc>
      </w:tr>
      <w:tr w:rsidR="009E03F1" w:rsidRPr="00243301" w:rsidTr="009E03F1">
        <w:trPr>
          <w:trHeight w:val="424"/>
        </w:trPr>
        <w:tc>
          <w:tcPr>
            <w:tcW w:w="567" w:type="dxa"/>
          </w:tcPr>
          <w:p w:rsidR="009E03F1" w:rsidRPr="005F7CF6" w:rsidRDefault="009E03F1" w:rsidP="00EA1458">
            <w:r>
              <w:t>34.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10. avaringoje sankryžoje įrengti žiedinę sankryžą, kaip tai laikinomis priemonėmis buvo padaryta anksčiau. Taip pat rekomenduojama panaikinti pėsčiųjų perėją prie Pilies g. 6</w:t>
            </w:r>
          </w:p>
        </w:tc>
        <w:tc>
          <w:tcPr>
            <w:tcW w:w="3827" w:type="dxa"/>
          </w:tcPr>
          <w:p w:rsidR="009E03F1" w:rsidRDefault="009E03F1" w:rsidP="008D63CE">
            <w:pPr>
              <w:pStyle w:val="Betarp"/>
            </w:pPr>
            <w:r>
              <w:t xml:space="preserve">10. 1. Spręsti kartu su Bastionų tilto statyba. </w:t>
            </w:r>
          </w:p>
          <w:p w:rsidR="009E03F1" w:rsidRPr="00243301" w:rsidRDefault="009E03F1" w:rsidP="008D63CE">
            <w:pPr>
              <w:pStyle w:val="Betarp"/>
            </w:pPr>
            <w:r>
              <w:t>10.2. panaikinti pėsčiųjų perėją prie Pilies g. 6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612845">
              <w:t>Minijos ir Pilies g. sankryž</w:t>
            </w:r>
            <w:r>
              <w:t>oje (sankryžos Nr. 11)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5F7CF6" w:rsidRDefault="009E03F1" w:rsidP="00EA1458">
            <w:r>
              <w:t>35.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 xml:space="preserve">11. </w:t>
            </w:r>
            <w:r w:rsidRPr="00612845">
              <w:t>Atsižvelgdama į STR 2.06.04:2014 „Gatvės ir vietinės reikšmės keliai. Bendrieji reikalavimai“ nuostatą, komisija rekomenduoja dviračių eismo organizavimą (ženklinimą) aut</w:t>
            </w:r>
            <w:r>
              <w:t>obusų eismo juostoje panaikinti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>11. rengiama studija, siūlome palaukti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612845">
              <w:t>Atskira rekomendacija dėl dviračių tako ženklinimo centre H. Manto g.</w:t>
            </w:r>
          </w:p>
        </w:tc>
      </w:tr>
      <w:tr w:rsidR="009E03F1" w:rsidRPr="00243301" w:rsidTr="009E03F1">
        <w:trPr>
          <w:trHeight w:val="407"/>
        </w:trPr>
        <w:tc>
          <w:tcPr>
            <w:tcW w:w="567" w:type="dxa"/>
          </w:tcPr>
          <w:p w:rsidR="009E03F1" w:rsidRPr="005F7CF6" w:rsidRDefault="009E03F1" w:rsidP="00EA1458">
            <w:r>
              <w:t>36.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12. visas pėsčiųjų perėjas H. Manto gatvėje apšviesti kryptiniu apšvietimu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>12. taip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612845">
              <w:t>Bendra rekomendacija dėl p</w:t>
            </w:r>
            <w:r>
              <w:t>ėsčiųjų perėjų H. Manto gatvėje</w:t>
            </w:r>
          </w:p>
        </w:tc>
      </w:tr>
      <w:tr w:rsidR="009E03F1" w:rsidRPr="00243301" w:rsidTr="009E03F1">
        <w:trPr>
          <w:trHeight w:val="407"/>
        </w:trPr>
        <w:tc>
          <w:tcPr>
            <w:tcW w:w="567" w:type="dxa"/>
          </w:tcPr>
          <w:p w:rsidR="009E03F1" w:rsidRPr="005F7CF6" w:rsidRDefault="009E03F1" w:rsidP="00EA1458">
            <w:r>
              <w:t>37.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13. įvertinus eismo srautus, sankryžoje taikyti eismo reguliavimą šviesoforais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>13. įvertinus eismo srautus, sankryžoje taikyti eismo reguliavimą šviesoforais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612845">
              <w:t xml:space="preserve">Šilutės </w:t>
            </w:r>
            <w:proofErr w:type="spellStart"/>
            <w:r w:rsidRPr="00612845">
              <w:t>pl</w:t>
            </w:r>
            <w:proofErr w:type="spellEnd"/>
            <w:r w:rsidRPr="00612845">
              <w:t>. ir Verpėjų g</w:t>
            </w:r>
            <w:r>
              <w:t>. sankryžoje (sankryžos Nr. 33)</w:t>
            </w:r>
          </w:p>
        </w:tc>
      </w:tr>
      <w:tr w:rsidR="009E03F1" w:rsidRPr="00243301" w:rsidTr="009E03F1">
        <w:trPr>
          <w:trHeight w:val="415"/>
        </w:trPr>
        <w:tc>
          <w:tcPr>
            <w:tcW w:w="567" w:type="dxa"/>
          </w:tcPr>
          <w:p w:rsidR="009E03F1" w:rsidRPr="005F7CF6" w:rsidRDefault="009E03F1" w:rsidP="00EA1458">
            <w:r>
              <w:t>38.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14. atsižvelgus į pėsčiųjų ir transporto priemonių eismo intensyvumą, panaikinti pėsčiųjų perėją arba didinti jos saugumą vadovaujantis Pėsčiųjų perėjų įrengimo taisyklėmis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 xml:space="preserve">14. planuojama Mokyklos – Tilžės g. sankryžos rekonstrukcija, siūlome perėjas pertvarkyti rekonstrukcijos metu 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>
              <w:t>Mokyklos g. 45 (ruožo Nr. 10)</w:t>
            </w:r>
          </w:p>
        </w:tc>
      </w:tr>
      <w:tr w:rsidR="009E03F1" w:rsidRPr="00243301" w:rsidTr="009E03F1">
        <w:trPr>
          <w:trHeight w:val="421"/>
        </w:trPr>
        <w:tc>
          <w:tcPr>
            <w:tcW w:w="567" w:type="dxa"/>
          </w:tcPr>
          <w:p w:rsidR="009E03F1" w:rsidRPr="005F7CF6" w:rsidRDefault="009E03F1" w:rsidP="00EA1458">
            <w:r>
              <w:t>39.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 xml:space="preserve">15. Komisija nepritaria sankryžos rekonstravimui į </w:t>
            </w:r>
            <w:proofErr w:type="spellStart"/>
            <w:r>
              <w:t>keturšalę</w:t>
            </w:r>
            <w:proofErr w:type="spellEnd"/>
            <w:r>
              <w:t xml:space="preserve"> šviesoforais reguliuojamą sankryžą ir rekomenduoja tobulinti eismo organizavimą </w:t>
            </w:r>
            <w:r>
              <w:lastRenderedPageBreak/>
              <w:t>žiede, prireikus pasitelkiant ir šviesoforus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lastRenderedPageBreak/>
              <w:t>15. taip.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0667CE">
              <w:t>Mokyklos ir Tilžės gatvi</w:t>
            </w:r>
            <w:r>
              <w:t>ų sankryžoje (sankryžos Nr. 34)</w:t>
            </w:r>
          </w:p>
        </w:tc>
      </w:tr>
      <w:tr w:rsidR="009E03F1" w:rsidRPr="00243301" w:rsidTr="009E03F1">
        <w:trPr>
          <w:trHeight w:val="414"/>
        </w:trPr>
        <w:tc>
          <w:tcPr>
            <w:tcW w:w="567" w:type="dxa"/>
          </w:tcPr>
          <w:p w:rsidR="009E03F1" w:rsidRPr="005F7CF6" w:rsidRDefault="009E03F1" w:rsidP="00EA1458">
            <w:r>
              <w:lastRenderedPageBreak/>
              <w:t>40.</w:t>
            </w:r>
          </w:p>
        </w:tc>
        <w:tc>
          <w:tcPr>
            <w:tcW w:w="4678" w:type="dxa"/>
          </w:tcPr>
          <w:p w:rsidR="009E03F1" w:rsidRPr="00243301" w:rsidRDefault="009E03F1" w:rsidP="00BC30A8">
            <w:pPr>
              <w:pStyle w:val="Betarp"/>
            </w:pPr>
            <w:r>
              <w:t>16. apriboti du artimiausius apsisukimus prie sankryžos ir apsisukimą organizuoti trečiame, toliausiai nuo sankryžos nutolusiame apsisukime</w:t>
            </w:r>
          </w:p>
        </w:tc>
        <w:tc>
          <w:tcPr>
            <w:tcW w:w="3827" w:type="dxa"/>
          </w:tcPr>
          <w:p w:rsidR="009E03F1" w:rsidRPr="00243301" w:rsidRDefault="009E03F1" w:rsidP="00BC30A8">
            <w:pPr>
              <w:pStyle w:val="Betarp"/>
            </w:pPr>
            <w:r>
              <w:t>16. taip.</w:t>
            </w:r>
          </w:p>
        </w:tc>
        <w:tc>
          <w:tcPr>
            <w:tcW w:w="2835" w:type="dxa"/>
          </w:tcPr>
          <w:p w:rsidR="009E03F1" w:rsidRPr="00243301" w:rsidRDefault="009E03F1" w:rsidP="00BC30A8">
            <w:pPr>
              <w:pStyle w:val="Betarp"/>
            </w:pPr>
            <w:r w:rsidRPr="000667CE">
              <w:t xml:space="preserve">Šilutės </w:t>
            </w:r>
            <w:proofErr w:type="spellStart"/>
            <w:r w:rsidRPr="000667CE">
              <w:t>pl</w:t>
            </w:r>
            <w:proofErr w:type="spellEnd"/>
            <w:r w:rsidRPr="000667CE">
              <w:t>. ir Kauno gatvi</w:t>
            </w:r>
            <w:r>
              <w:t>ų sankryžoje (sankryžos Nr. 25)</w:t>
            </w:r>
          </w:p>
        </w:tc>
      </w:tr>
    </w:tbl>
    <w:p w:rsidR="00243301" w:rsidRDefault="003E3379" w:rsidP="00337D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C365B" w:rsidRDefault="00EC365B" w:rsidP="00337D78">
      <w:pPr>
        <w:rPr>
          <w:b/>
          <w:sz w:val="28"/>
          <w:szCs w:val="28"/>
        </w:rPr>
      </w:pPr>
    </w:p>
    <w:p w:rsidR="00EC365B" w:rsidRPr="00EC365B" w:rsidRDefault="00EC365B" w:rsidP="00EC365B">
      <w:pPr>
        <w:ind w:firstLine="1296"/>
        <w:rPr>
          <w:sz w:val="24"/>
          <w:szCs w:val="24"/>
        </w:rPr>
      </w:pPr>
      <w:r w:rsidRPr="00EC365B">
        <w:rPr>
          <w:sz w:val="24"/>
          <w:szCs w:val="24"/>
        </w:rPr>
        <w:t>Pas</w:t>
      </w:r>
      <w:r>
        <w:rPr>
          <w:sz w:val="24"/>
          <w:szCs w:val="24"/>
        </w:rPr>
        <w:t xml:space="preserve">taba: </w:t>
      </w:r>
      <w:r>
        <w:t>PP</w:t>
      </w:r>
      <w:r>
        <w:t xml:space="preserve"> – pėsčiųjų perėja.</w:t>
      </w:r>
      <w:bookmarkStart w:id="0" w:name="_GoBack"/>
      <w:bookmarkEnd w:id="0"/>
    </w:p>
    <w:sectPr w:rsidR="00EC365B" w:rsidRPr="00EC365B" w:rsidSect="0024330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484"/>
    <w:multiLevelType w:val="hybridMultilevel"/>
    <w:tmpl w:val="E550E5B4"/>
    <w:lvl w:ilvl="0" w:tplc="9CEA3FF6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F4473"/>
    <w:multiLevelType w:val="hybridMultilevel"/>
    <w:tmpl w:val="BC0ED7B8"/>
    <w:lvl w:ilvl="0" w:tplc="9CEA3FF6">
      <w:start w:val="1"/>
      <w:numFmt w:val="decimal"/>
      <w:lvlText w:val="%1."/>
      <w:lvlJc w:val="righ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05120"/>
    <w:multiLevelType w:val="hybridMultilevel"/>
    <w:tmpl w:val="05AACE2C"/>
    <w:lvl w:ilvl="0" w:tplc="0427000F">
      <w:start w:val="1"/>
      <w:numFmt w:val="decimal"/>
      <w:lvlText w:val="%1."/>
      <w:lvlJc w:val="left"/>
      <w:pPr>
        <w:ind w:left="1533" w:hanging="360"/>
      </w:p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3">
    <w:nsid w:val="79685158"/>
    <w:multiLevelType w:val="hybridMultilevel"/>
    <w:tmpl w:val="DE644362"/>
    <w:lvl w:ilvl="0" w:tplc="0427000F">
      <w:start w:val="1"/>
      <w:numFmt w:val="decimal"/>
      <w:lvlText w:val="%1."/>
      <w:lvlJc w:val="left"/>
      <w:pPr>
        <w:ind w:left="81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E3"/>
    <w:rsid w:val="00000D87"/>
    <w:rsid w:val="00025402"/>
    <w:rsid w:val="0005509A"/>
    <w:rsid w:val="000667CE"/>
    <w:rsid w:val="00067C77"/>
    <w:rsid w:val="000C67E8"/>
    <w:rsid w:val="000D2DB7"/>
    <w:rsid w:val="001070A6"/>
    <w:rsid w:val="00152579"/>
    <w:rsid w:val="00190856"/>
    <w:rsid w:val="001B6C38"/>
    <w:rsid w:val="001C4B60"/>
    <w:rsid w:val="001D5FB7"/>
    <w:rsid w:val="001F715A"/>
    <w:rsid w:val="0021158E"/>
    <w:rsid w:val="0022242A"/>
    <w:rsid w:val="00233263"/>
    <w:rsid w:val="00243301"/>
    <w:rsid w:val="002465AC"/>
    <w:rsid w:val="00253E4F"/>
    <w:rsid w:val="002767D4"/>
    <w:rsid w:val="00281723"/>
    <w:rsid w:val="002836BD"/>
    <w:rsid w:val="00287EE4"/>
    <w:rsid w:val="0030483F"/>
    <w:rsid w:val="003064FB"/>
    <w:rsid w:val="00337D78"/>
    <w:rsid w:val="00362D86"/>
    <w:rsid w:val="00364A41"/>
    <w:rsid w:val="00377D24"/>
    <w:rsid w:val="00386FA0"/>
    <w:rsid w:val="003C44E7"/>
    <w:rsid w:val="003D1E86"/>
    <w:rsid w:val="003E0017"/>
    <w:rsid w:val="003E3379"/>
    <w:rsid w:val="003E7A9C"/>
    <w:rsid w:val="00462DDE"/>
    <w:rsid w:val="00483E07"/>
    <w:rsid w:val="00487B28"/>
    <w:rsid w:val="004A0631"/>
    <w:rsid w:val="004C1926"/>
    <w:rsid w:val="004E4DF4"/>
    <w:rsid w:val="0057322A"/>
    <w:rsid w:val="00577BD8"/>
    <w:rsid w:val="00594FA2"/>
    <w:rsid w:val="005B0A59"/>
    <w:rsid w:val="005B65E3"/>
    <w:rsid w:val="005C2A4C"/>
    <w:rsid w:val="005C3BD4"/>
    <w:rsid w:val="005D5641"/>
    <w:rsid w:val="005F6259"/>
    <w:rsid w:val="00612845"/>
    <w:rsid w:val="00613B67"/>
    <w:rsid w:val="0064480C"/>
    <w:rsid w:val="006B3349"/>
    <w:rsid w:val="006C213B"/>
    <w:rsid w:val="0071331D"/>
    <w:rsid w:val="007564E2"/>
    <w:rsid w:val="007764F6"/>
    <w:rsid w:val="0082335B"/>
    <w:rsid w:val="00866470"/>
    <w:rsid w:val="00896175"/>
    <w:rsid w:val="008D06A9"/>
    <w:rsid w:val="008D63CE"/>
    <w:rsid w:val="009014B5"/>
    <w:rsid w:val="00922500"/>
    <w:rsid w:val="00953527"/>
    <w:rsid w:val="00976C7F"/>
    <w:rsid w:val="009D459B"/>
    <w:rsid w:val="009D494F"/>
    <w:rsid w:val="009E03F1"/>
    <w:rsid w:val="009F5CFF"/>
    <w:rsid w:val="00A05A96"/>
    <w:rsid w:val="00AC62EE"/>
    <w:rsid w:val="00AD3377"/>
    <w:rsid w:val="00AE5006"/>
    <w:rsid w:val="00B46928"/>
    <w:rsid w:val="00B47364"/>
    <w:rsid w:val="00B57842"/>
    <w:rsid w:val="00B67AFF"/>
    <w:rsid w:val="00BC30A8"/>
    <w:rsid w:val="00C363BC"/>
    <w:rsid w:val="00C65C10"/>
    <w:rsid w:val="00C9093E"/>
    <w:rsid w:val="00CA4FC9"/>
    <w:rsid w:val="00CB1506"/>
    <w:rsid w:val="00CC6CCA"/>
    <w:rsid w:val="00CE2E40"/>
    <w:rsid w:val="00CF5FB3"/>
    <w:rsid w:val="00D14928"/>
    <w:rsid w:val="00D15D3F"/>
    <w:rsid w:val="00D20DF8"/>
    <w:rsid w:val="00D7686E"/>
    <w:rsid w:val="00D76EDF"/>
    <w:rsid w:val="00D81C4C"/>
    <w:rsid w:val="00DB5574"/>
    <w:rsid w:val="00E0384E"/>
    <w:rsid w:val="00E276AB"/>
    <w:rsid w:val="00E32BA9"/>
    <w:rsid w:val="00E52EF7"/>
    <w:rsid w:val="00E67B24"/>
    <w:rsid w:val="00EC2F00"/>
    <w:rsid w:val="00EC365B"/>
    <w:rsid w:val="00EE5C76"/>
    <w:rsid w:val="00EF7212"/>
    <w:rsid w:val="00F05BB4"/>
    <w:rsid w:val="00F23A43"/>
    <w:rsid w:val="00F426B6"/>
    <w:rsid w:val="00F47D31"/>
    <w:rsid w:val="00F50347"/>
    <w:rsid w:val="00FA2D71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76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43301"/>
    <w:pPr>
      <w:spacing w:after="0" w:line="240" w:lineRule="auto"/>
    </w:pPr>
  </w:style>
  <w:style w:type="character" w:styleId="Komentaronuoroda">
    <w:name w:val="annotation reference"/>
    <w:uiPriority w:val="99"/>
    <w:semiHidden/>
    <w:unhideWhenUsed/>
    <w:rsid w:val="007564E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64E2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6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76C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43301"/>
    <w:pPr>
      <w:spacing w:after="0" w:line="240" w:lineRule="auto"/>
    </w:pPr>
  </w:style>
  <w:style w:type="character" w:styleId="Komentaronuoroda">
    <w:name w:val="annotation reference"/>
    <w:uiPriority w:val="99"/>
    <w:semiHidden/>
    <w:unhideWhenUsed/>
    <w:rsid w:val="007564E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64E2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6C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1AD9-4709-4620-B759-06CEFE58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7392</Words>
  <Characters>4215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Paukste</dc:creator>
  <cp:lastModifiedBy>Rimantas Mockus</cp:lastModifiedBy>
  <cp:revision>6</cp:revision>
  <cp:lastPrinted>2016-04-28T08:07:00Z</cp:lastPrinted>
  <dcterms:created xsi:type="dcterms:W3CDTF">2016-05-02T06:47:00Z</dcterms:created>
  <dcterms:modified xsi:type="dcterms:W3CDTF">2016-05-02T07:00:00Z</dcterms:modified>
</cp:coreProperties>
</file>