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imes New Roman" w:cs="Times New Roman"/>
          <w:szCs w:val="20"/>
        </w:rPr>
        <w:alias w:val="pr."/>
        <w:tag w:val="part_6b9c889aa410404abfd3ce0b6499d9a6"/>
        <w:id w:val="1442193106"/>
      </w:sdtPr>
      <w:sdtEndPr/>
      <w:sdtContent>
        <w:p w:rsidR="0043152D" w:rsidRPr="0043152D" w:rsidRDefault="0043152D" w:rsidP="009626CA">
          <w:pPr>
            <w:ind w:left="9072"/>
            <w:jc w:val="center"/>
            <w:rPr>
              <w:rFonts w:eastAsia="Times New Roman" w:cs="Times New Roman"/>
              <w:b/>
              <w:lang w:eastAsia="lt-LT"/>
            </w:rPr>
          </w:pPr>
        </w:p>
        <w:p w:rsidR="0043152D" w:rsidRPr="0043152D" w:rsidRDefault="0043152D" w:rsidP="001C29D6">
          <w:pPr>
            <w:jc w:val="center"/>
            <w:rPr>
              <w:rFonts w:eastAsia="Times New Roman" w:cs="Times New Roman"/>
              <w:lang w:eastAsia="lt-LT"/>
            </w:rPr>
          </w:pPr>
          <w:r w:rsidRPr="0043152D">
            <w:rPr>
              <w:rFonts w:eastAsia="Times New Roman" w:cs="Times New Roman"/>
              <w:b/>
              <w:lang w:eastAsia="lt-LT"/>
            </w:rPr>
            <w:t>TEISĖS AKTŲ PROJEKTŲ ANTIKORUPCINIO VERTINIMO PAŽYMA</w:t>
          </w:r>
        </w:p>
        <w:p w:rsidR="0043152D" w:rsidRPr="001C29D6" w:rsidRDefault="0043152D" w:rsidP="001C29D6">
          <w:pPr>
            <w:pStyle w:val="Betarp"/>
            <w:rPr>
              <w:b/>
              <w:lang w:eastAsia="lt-LT"/>
            </w:rPr>
          </w:pPr>
          <w:r w:rsidRPr="0043152D">
            <w:rPr>
              <w:lang w:eastAsia="lt-LT"/>
            </w:rPr>
            <w:t>Teisės akto projekto pavadinimas:</w:t>
          </w:r>
          <w:r w:rsidR="005A6C90" w:rsidRPr="005A6C90">
            <w:t xml:space="preserve"> </w:t>
          </w:r>
          <w:r w:rsidR="005A6C90" w:rsidRPr="001C29D6">
            <w:rPr>
              <w:b/>
            </w:rPr>
            <w:t xml:space="preserve">Klaipėdos miesto savivaldybės tarybos sprendimo projektas </w:t>
          </w:r>
          <w:r w:rsidR="001F3A9A" w:rsidRPr="001C29D6">
            <w:rPr>
              <w:b/>
            </w:rPr>
            <w:t xml:space="preserve">„Dėl Klaipėdos miesto sanitarijos ir higienos taisyklių patvirtinimo“ </w:t>
          </w:r>
        </w:p>
        <w:p w:rsidR="0043152D" w:rsidRPr="0043152D" w:rsidRDefault="0043152D" w:rsidP="001C29D6">
          <w:pPr>
            <w:pStyle w:val="Betarp"/>
            <w:rPr>
              <w:lang w:eastAsia="lt-LT"/>
            </w:rPr>
          </w:pPr>
          <w:r w:rsidRPr="0043152D">
            <w:rPr>
              <w:lang w:eastAsia="lt-LT"/>
            </w:rPr>
            <w:t>Teisės akto projekto tiesioginis rengėjas:</w:t>
          </w:r>
          <w:r w:rsidR="005A6C90">
            <w:rPr>
              <w:lang w:eastAsia="lt-LT"/>
            </w:rPr>
            <w:t xml:space="preserve"> </w:t>
          </w:r>
          <w:r w:rsidR="005A6C90" w:rsidRPr="001C29D6">
            <w:rPr>
              <w:b/>
              <w:lang w:eastAsia="lt-LT"/>
            </w:rPr>
            <w:t>Nina Gendvilienė</w:t>
          </w:r>
        </w:p>
        <w:p w:rsidR="00870401" w:rsidRDefault="0043152D" w:rsidP="001C29D6">
          <w:pPr>
            <w:pStyle w:val="Betarp"/>
            <w:rPr>
              <w:lang w:eastAsia="lt-LT"/>
            </w:rPr>
          </w:pPr>
          <w:r w:rsidRPr="0043152D">
            <w:rPr>
              <w:lang w:eastAsia="lt-LT"/>
            </w:rPr>
            <w:t xml:space="preserve">Antikorupciniu požiūriu rizikingos teisės akto projekto nuostatos </w:t>
          </w:r>
        </w:p>
        <w:p w:rsidR="005A6C90" w:rsidRPr="005A6C90" w:rsidRDefault="0043152D" w:rsidP="001C29D6">
          <w:pPr>
            <w:pStyle w:val="Betarp"/>
            <w:rPr>
              <w:lang w:eastAsia="lt-LT"/>
            </w:rPr>
          </w:pPr>
          <w:r w:rsidRPr="00D23143">
            <w:rPr>
              <w:i/>
              <w:sz w:val="18"/>
              <w:szCs w:val="18"/>
              <w:lang w:eastAsia="lt-LT"/>
            </w:rPr>
            <w:t>(nurodyti kriterijaus numerį, kurį taikant nustatytai korupcijos rizikai šalinti ar valdyti teisės akto projekte nenumatyta priemonių)</w:t>
          </w:r>
          <w:r w:rsidRPr="00D23143">
            <w:rPr>
              <w:sz w:val="18"/>
              <w:szCs w:val="18"/>
              <w:vertAlign w:val="superscript"/>
              <w:lang w:eastAsia="lt-LT"/>
            </w:rPr>
            <w:footnoteReference w:id="1"/>
          </w:r>
          <w:r w:rsidRPr="00D23143">
            <w:rPr>
              <w:sz w:val="18"/>
              <w:szCs w:val="18"/>
              <w:lang w:eastAsia="lt-LT"/>
            </w:rPr>
            <w:t>:</w:t>
          </w:r>
          <w:r w:rsidRPr="0043152D">
            <w:rPr>
              <w:lang w:eastAsia="lt-LT"/>
            </w:rPr>
            <w:t xml:space="preserve"> </w:t>
          </w:r>
          <w:r w:rsidR="005A6C90" w:rsidRPr="005A6C90">
            <w:rPr>
              <w:lang w:eastAsia="lt-LT"/>
            </w:rPr>
            <w:t xml:space="preserve">nenustatyta. </w:t>
          </w:r>
        </w:p>
        <w:p w:rsidR="00870401" w:rsidRDefault="0043152D" w:rsidP="001C29D6">
          <w:pPr>
            <w:pStyle w:val="Betarp"/>
            <w:rPr>
              <w:lang w:eastAsia="lt-LT"/>
            </w:rPr>
          </w:pPr>
          <w:r w:rsidRPr="0043152D">
            <w:rPr>
              <w:lang w:eastAsia="lt-LT"/>
            </w:rPr>
            <w:t>Antikorupciniu požiūriu rizikingos teisės akto projekto nuostatos, nustatytos atliekant a</w:t>
          </w:r>
          <w:r w:rsidR="00870401">
            <w:rPr>
              <w:lang w:eastAsia="lt-LT"/>
            </w:rPr>
            <w:t>ntikorupcinį vertinimą po tarpins</w:t>
          </w:r>
          <w:r w:rsidRPr="0043152D">
            <w:rPr>
              <w:lang w:eastAsia="lt-LT"/>
            </w:rPr>
            <w:t xml:space="preserve">titucinio derinimo </w:t>
          </w:r>
        </w:p>
        <w:p w:rsidR="0043152D" w:rsidRPr="0043152D" w:rsidRDefault="0043152D" w:rsidP="001C29D6">
          <w:pPr>
            <w:pStyle w:val="Betarp"/>
            <w:rPr>
              <w:sz w:val="22"/>
              <w:szCs w:val="20"/>
              <w:lang w:eastAsia="lt-LT"/>
            </w:rPr>
          </w:pPr>
          <w:r w:rsidRPr="00A508D5">
            <w:rPr>
              <w:i/>
              <w:sz w:val="18"/>
              <w:szCs w:val="18"/>
              <w:lang w:eastAsia="lt-LT"/>
            </w:rPr>
            <w:t>(nurodyti kriterijaus numerį, kurį taikant nustatytai korupcijos rizikai šalinti ar valdyti teisės akto projekte nenumatyta priemonių)</w:t>
          </w:r>
          <w:r w:rsidRPr="00A508D5">
            <w:rPr>
              <w:sz w:val="18"/>
              <w:szCs w:val="18"/>
              <w:vertAlign w:val="superscript"/>
              <w:lang w:eastAsia="lt-LT"/>
            </w:rPr>
            <w:footnoteReference w:id="2"/>
          </w:r>
          <w:r w:rsidRPr="00A508D5">
            <w:rPr>
              <w:sz w:val="18"/>
              <w:szCs w:val="18"/>
              <w:lang w:eastAsia="lt-LT"/>
            </w:rPr>
            <w:t>:</w:t>
          </w:r>
        </w:p>
        <w:tbl>
          <w:tblPr>
            <w:tblW w:w="0" w:type="auto"/>
            <w:tblInd w:w="108" w:type="dxa"/>
            <w:tblLook w:val="04A0" w:firstRow="1" w:lastRow="0" w:firstColumn="1" w:lastColumn="0" w:noHBand="0" w:noVBand="1"/>
          </w:tblPr>
          <w:tblGrid>
            <w:gridCol w:w="705"/>
            <w:gridCol w:w="1738"/>
            <w:gridCol w:w="1635"/>
            <w:gridCol w:w="3084"/>
            <w:gridCol w:w="840"/>
            <w:gridCol w:w="1571"/>
            <w:gridCol w:w="2212"/>
            <w:gridCol w:w="2677"/>
          </w:tblGrid>
          <w:tr w:rsidR="0043152D" w:rsidRPr="0043152D" w:rsidTr="007A6DBE">
            <w:trPr>
              <w:trHeight w:val="23"/>
              <w:tblHeader/>
            </w:trPr>
            <w:tc>
              <w:tcPr>
                <w:tcW w:w="709" w:type="dxa"/>
                <w:shd w:val="clear" w:color="auto" w:fill="auto"/>
                <w:vAlign w:val="center"/>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Eil. Nr.</w:t>
                </w:r>
              </w:p>
            </w:tc>
            <w:tc>
              <w:tcPr>
                <w:tcW w:w="3402" w:type="dxa"/>
                <w:gridSpan w:val="2"/>
                <w:shd w:val="clear" w:color="auto" w:fill="auto"/>
                <w:vAlign w:val="center"/>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Kriterijus</w:t>
                </w:r>
              </w:p>
            </w:tc>
            <w:tc>
              <w:tcPr>
                <w:tcW w:w="3969" w:type="dxa"/>
                <w:gridSpan w:val="2"/>
                <w:shd w:val="clear" w:color="auto" w:fill="auto"/>
                <w:vAlign w:val="center"/>
              </w:tcPr>
              <w:p w:rsidR="0043152D" w:rsidRPr="0043152D" w:rsidRDefault="0043152D" w:rsidP="0043152D">
                <w:pPr>
                  <w:jc w:val="center"/>
                  <w:rPr>
                    <w:rFonts w:eastAsia="Times New Roman" w:cs="Times New Roman"/>
                    <w:b/>
                    <w:sz w:val="22"/>
                    <w:szCs w:val="22"/>
                    <w:lang w:eastAsia="lt-LT"/>
                  </w:rPr>
                </w:pPr>
                <w:r w:rsidRPr="0043152D">
                  <w:rPr>
                    <w:rFonts w:eastAsia="Times New Roman" w:cs="Times New Roman"/>
                    <w:sz w:val="22"/>
                    <w:szCs w:val="22"/>
                    <w:lang w:eastAsia="lt-LT"/>
                  </w:rPr>
                  <w:t>Pagrindimas (</w:t>
                </w:r>
                <w:r w:rsidRPr="00535755">
                  <w:rPr>
                    <w:rFonts w:eastAsia="Times New Roman" w:cs="Times New Roman"/>
                    <w:sz w:val="20"/>
                    <w:szCs w:val="20"/>
                    <w:lang w:eastAsia="lt-LT"/>
                  </w:rPr>
                  <w:t>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gridSpan w:val="2"/>
                <w:shd w:val="clear" w:color="auto" w:fill="auto"/>
                <w:vAlign w:val="center"/>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Išvada dėl teisės akto projekto pakeitimų arba argumentų, kodėl neatsižvelgta į pastabą</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i/>
                    <w:sz w:val="22"/>
                    <w:szCs w:val="22"/>
                    <w:lang w:eastAsia="lt-LT"/>
                  </w:rPr>
                </w:pPr>
              </w:p>
            </w:tc>
            <w:tc>
              <w:tcPr>
                <w:tcW w:w="3402" w:type="dxa"/>
                <w:gridSpan w:val="2"/>
                <w:shd w:val="clear" w:color="auto" w:fill="auto"/>
              </w:tcPr>
              <w:p w:rsidR="0043152D" w:rsidRPr="0043152D" w:rsidRDefault="0043152D" w:rsidP="0043152D">
                <w:pPr>
                  <w:rPr>
                    <w:rFonts w:eastAsia="Times New Roman" w:cs="Times New Roman"/>
                    <w:i/>
                    <w:sz w:val="22"/>
                    <w:szCs w:val="22"/>
                    <w:lang w:eastAsia="lt-LT"/>
                  </w:rPr>
                </w:pPr>
              </w:p>
            </w:tc>
            <w:tc>
              <w:tcPr>
                <w:tcW w:w="3969" w:type="dxa"/>
                <w:gridSpan w:val="2"/>
                <w:shd w:val="clear" w:color="auto" w:fill="auto"/>
                <w:vAlign w:val="center"/>
              </w:tcPr>
              <w:p w:rsidR="0043152D" w:rsidRPr="0043152D" w:rsidRDefault="0043152D" w:rsidP="0043152D">
                <w:pPr>
                  <w:jc w:val="center"/>
                  <w:rPr>
                    <w:rFonts w:eastAsia="Times New Roman" w:cs="Times New Roman"/>
                    <w:i/>
                    <w:sz w:val="22"/>
                    <w:szCs w:val="22"/>
                    <w:lang w:eastAsia="lt-LT"/>
                  </w:rPr>
                </w:pPr>
                <w:r w:rsidRPr="0043152D">
                  <w:rPr>
                    <w:rFonts w:eastAsia="Times New Roman" w:cs="Times New Roman"/>
                    <w:i/>
                    <w:sz w:val="22"/>
                    <w:szCs w:val="22"/>
                    <w:lang w:eastAsia="lt-LT"/>
                  </w:rPr>
                  <w:t>pildo teisės akto projekto vertintojas</w:t>
                </w:r>
              </w:p>
            </w:tc>
            <w:tc>
              <w:tcPr>
                <w:tcW w:w="3827" w:type="dxa"/>
                <w:gridSpan w:val="2"/>
                <w:shd w:val="clear" w:color="auto" w:fill="auto"/>
                <w:vAlign w:val="center"/>
              </w:tcPr>
              <w:p w:rsidR="0043152D" w:rsidRPr="0043152D" w:rsidRDefault="0043152D" w:rsidP="0043152D">
                <w:pPr>
                  <w:jc w:val="center"/>
                  <w:rPr>
                    <w:rFonts w:eastAsia="Times New Roman" w:cs="Times New Roman"/>
                    <w:i/>
                    <w:sz w:val="22"/>
                    <w:szCs w:val="22"/>
                    <w:lang w:eastAsia="lt-LT"/>
                  </w:rPr>
                </w:pPr>
                <w:r w:rsidRPr="0043152D">
                  <w:rPr>
                    <w:rFonts w:eastAsia="Times New Roman" w:cs="Times New Roman"/>
                    <w:i/>
                    <w:sz w:val="22"/>
                    <w:szCs w:val="22"/>
                    <w:lang w:eastAsia="lt-LT"/>
                  </w:rPr>
                  <w:t>pildo teisės akto projekto tiesioginis rengėjas</w:t>
                </w:r>
              </w:p>
            </w:tc>
            <w:tc>
              <w:tcPr>
                <w:tcW w:w="2703" w:type="dxa"/>
                <w:shd w:val="clear" w:color="auto" w:fill="auto"/>
                <w:vAlign w:val="center"/>
              </w:tcPr>
              <w:p w:rsidR="0043152D" w:rsidRPr="0043152D" w:rsidRDefault="0043152D" w:rsidP="0043152D">
                <w:pPr>
                  <w:jc w:val="center"/>
                  <w:rPr>
                    <w:rFonts w:eastAsia="Times New Roman" w:cs="Times New Roman"/>
                    <w:i/>
                    <w:sz w:val="22"/>
                    <w:szCs w:val="22"/>
                    <w:lang w:eastAsia="lt-LT"/>
                  </w:rPr>
                </w:pPr>
                <w:r w:rsidRPr="0043152D">
                  <w:rPr>
                    <w:rFonts w:eastAsia="Times New Roman" w:cs="Times New Roman"/>
                    <w:i/>
                    <w:sz w:val="22"/>
                    <w:szCs w:val="22"/>
                    <w:lang w:eastAsia="lt-LT"/>
                  </w:rPr>
                  <w:t>pildo teisės akto projekto vertintojas</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projektas nesudaro išskirtinių ar nevienodų sąlygų subjektams, su kuriais susijęs teisės akto įgyvendinimas</w:t>
                </w:r>
              </w:p>
            </w:tc>
            <w:tc>
              <w:tcPr>
                <w:tcW w:w="3969" w:type="dxa"/>
                <w:gridSpan w:val="2"/>
                <w:shd w:val="clear" w:color="auto" w:fill="auto"/>
              </w:tcPr>
              <w:p w:rsidR="0043152D" w:rsidRPr="0043152D" w:rsidRDefault="00A508D5" w:rsidP="00AC40F5">
                <w:pPr>
                  <w:jc w:val="both"/>
                  <w:rPr>
                    <w:rFonts w:eastAsia="Times New Roman" w:cs="Times New Roman"/>
                    <w:b/>
                    <w:sz w:val="22"/>
                    <w:szCs w:val="22"/>
                    <w:lang w:eastAsia="lt-LT"/>
                  </w:rPr>
                </w:pPr>
                <w:r>
                  <w:rPr>
                    <w:rFonts w:eastAsia="Times New Roman" w:cs="Times New Roman"/>
                  </w:rPr>
                  <w:t xml:space="preserve">Ne </w:t>
                </w:r>
              </w:p>
            </w:tc>
            <w:tc>
              <w:tcPr>
                <w:tcW w:w="3827" w:type="dxa"/>
                <w:gridSpan w:val="2"/>
                <w:shd w:val="clear" w:color="auto" w:fill="auto"/>
              </w:tcPr>
              <w:p w:rsidR="0043152D" w:rsidRPr="0043152D" w:rsidRDefault="0043152D" w:rsidP="0043152D">
                <w:pPr>
                  <w:rPr>
                    <w:rFonts w:eastAsia="Times New Roman" w:cs="Times New Roman"/>
                    <w:b/>
                    <w:sz w:val="22"/>
                    <w:szCs w:val="22"/>
                    <w:lang w:eastAsia="lt-LT"/>
                  </w:rPr>
                </w:pPr>
              </w:p>
            </w:tc>
            <w:tc>
              <w:tcPr>
                <w:tcW w:w="2703" w:type="dxa"/>
                <w:shd w:val="clear" w:color="auto" w:fill="auto"/>
              </w:tcPr>
              <w:p w:rsidR="0043152D" w:rsidRPr="0043152D" w:rsidRDefault="0085197E"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keepNext/>
                  <w:jc w:val="center"/>
                  <w:rPr>
                    <w:rFonts w:eastAsia="Times New Roman" w:cs="Times New Roman"/>
                    <w:sz w:val="22"/>
                    <w:szCs w:val="22"/>
                    <w:lang w:eastAsia="lt-LT"/>
                  </w:rPr>
                </w:pPr>
                <w:r w:rsidRPr="0043152D">
                  <w:rPr>
                    <w:rFonts w:eastAsia="Times New Roman" w:cs="Times New Roman"/>
                    <w:sz w:val="22"/>
                    <w:szCs w:val="22"/>
                    <w:lang w:eastAsia="lt-LT"/>
                  </w:rPr>
                  <w:t>2.</w:t>
                </w:r>
              </w:p>
            </w:tc>
            <w:tc>
              <w:tcPr>
                <w:tcW w:w="3402" w:type="dxa"/>
                <w:gridSpan w:val="2"/>
                <w:shd w:val="clear" w:color="auto" w:fill="auto"/>
              </w:tcPr>
              <w:p w:rsidR="0043152D" w:rsidRPr="0043152D" w:rsidRDefault="0043152D" w:rsidP="0043152D">
                <w:pPr>
                  <w:keepNext/>
                  <w:rPr>
                    <w:rFonts w:eastAsia="Times New Roman" w:cs="Times New Roman"/>
                    <w:sz w:val="22"/>
                    <w:szCs w:val="22"/>
                    <w:lang w:eastAsia="lt-LT"/>
                  </w:rPr>
                </w:pPr>
                <w:r w:rsidRPr="0043152D">
                  <w:rPr>
                    <w:rFonts w:eastAsia="Times New Roman" w:cs="Times New Roman"/>
                    <w:sz w:val="22"/>
                    <w:szCs w:val="22"/>
                    <w:lang w:eastAsia="lt-LT"/>
                  </w:rPr>
                  <w:t>Teisės akto projekte nėra spragų ar nuostatų, leisiančių dviprasmiškai aiškinti ir taikyti teisės aktą</w:t>
                </w:r>
              </w:p>
            </w:tc>
            <w:tc>
              <w:tcPr>
                <w:tcW w:w="3969" w:type="dxa"/>
                <w:gridSpan w:val="2"/>
                <w:shd w:val="clear" w:color="auto" w:fill="auto"/>
              </w:tcPr>
              <w:p w:rsidR="0043152D" w:rsidRPr="0043152D" w:rsidRDefault="00535755" w:rsidP="0043152D">
                <w:pPr>
                  <w:keepNext/>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keepNext/>
                  <w:rPr>
                    <w:rFonts w:eastAsia="Times New Roman" w:cs="Times New Roman"/>
                    <w:sz w:val="22"/>
                    <w:szCs w:val="22"/>
                    <w:lang w:eastAsia="lt-LT"/>
                  </w:rPr>
                </w:pPr>
              </w:p>
            </w:tc>
            <w:tc>
              <w:tcPr>
                <w:tcW w:w="2703" w:type="dxa"/>
                <w:shd w:val="clear" w:color="auto" w:fill="auto"/>
              </w:tcPr>
              <w:p w:rsidR="0043152D" w:rsidRPr="0043152D" w:rsidRDefault="0085197E" w:rsidP="0043152D">
                <w:pPr>
                  <w:keepNext/>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keepNext/>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3.</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gridSpan w:val="2"/>
                <w:shd w:val="clear" w:color="auto" w:fill="auto"/>
              </w:tcPr>
              <w:p w:rsidR="0043152D" w:rsidRPr="0043152D" w:rsidRDefault="00535755" w:rsidP="0043152D">
                <w:pPr>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85197E"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4.</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projekte nustatyti subjekto įgaliojimai (teisės) atitinka subjekto atliekamas funkcijas (pareigas)</w:t>
                </w:r>
              </w:p>
            </w:tc>
            <w:tc>
              <w:tcPr>
                <w:tcW w:w="3969" w:type="dxa"/>
                <w:gridSpan w:val="2"/>
                <w:shd w:val="clear" w:color="auto" w:fill="auto"/>
              </w:tcPr>
              <w:p w:rsidR="0043152D" w:rsidRPr="0043152D" w:rsidRDefault="00535755" w:rsidP="001F3A9A">
                <w:pPr>
                  <w:rPr>
                    <w:rFonts w:eastAsia="Times New Roman" w:cs="Times New Roman"/>
                    <w:sz w:val="22"/>
                    <w:szCs w:val="22"/>
                    <w:lang w:eastAsia="lt-LT"/>
                  </w:rPr>
                </w:pPr>
                <w:r>
                  <w:rPr>
                    <w:sz w:val="22"/>
                    <w:szCs w:val="22"/>
                    <w:lang w:eastAsia="lt-LT"/>
                  </w:rPr>
                  <w:t>Taip</w:t>
                </w:r>
                <w:r w:rsidR="00A508D5">
                  <w:rPr>
                    <w:sz w:val="22"/>
                    <w:szCs w:val="22"/>
                    <w:lang w:eastAsia="lt-LT"/>
                  </w:rPr>
                  <w:t xml:space="preserve">. </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85197E"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lastRenderedPageBreak/>
                  <w:t>5.</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projekte nustatytas baigtinis sprendimo priėmimo kriterijų (atvejų) sąrašas</w:t>
                </w:r>
              </w:p>
            </w:tc>
            <w:tc>
              <w:tcPr>
                <w:tcW w:w="3969" w:type="dxa"/>
                <w:gridSpan w:val="2"/>
                <w:shd w:val="clear" w:color="auto" w:fill="auto"/>
              </w:tcPr>
              <w:p w:rsidR="0043152D" w:rsidRPr="0043152D" w:rsidRDefault="005316AE" w:rsidP="005316AE">
                <w:pPr>
                  <w:rPr>
                    <w:rFonts w:eastAsia="Times New Roman" w:cs="Times New Roman"/>
                    <w:sz w:val="22"/>
                    <w:szCs w:val="22"/>
                    <w:lang w:eastAsia="lt-LT"/>
                  </w:rPr>
                </w:pPr>
                <w:r>
                  <w:rPr>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85197E"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6.</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projekte nustatytas baigtinis sąrašas motyvuotų atvejų, kai priimant sprendimus taikomos išimtys</w:t>
                </w:r>
              </w:p>
            </w:tc>
            <w:tc>
              <w:tcPr>
                <w:tcW w:w="3969" w:type="dxa"/>
                <w:gridSpan w:val="2"/>
                <w:shd w:val="clear" w:color="auto" w:fill="auto"/>
              </w:tcPr>
              <w:p w:rsidR="0043152D" w:rsidRPr="0043152D" w:rsidRDefault="005316AE" w:rsidP="005316AE">
                <w:pPr>
                  <w:rPr>
                    <w:rFonts w:eastAsia="Times New Roman" w:cs="Times New Roman"/>
                    <w:sz w:val="22"/>
                    <w:szCs w:val="22"/>
                    <w:lang w:eastAsia="lt-LT"/>
                  </w:rPr>
                </w:pPr>
                <w:r>
                  <w:rPr>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85197E"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7.</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projekte nustatyta sprendimų priėmimo, įforminimo tvarka ir priimtų sprendimų viešinimas</w:t>
                </w:r>
              </w:p>
            </w:tc>
            <w:tc>
              <w:tcPr>
                <w:tcW w:w="3969" w:type="dxa"/>
                <w:gridSpan w:val="2"/>
                <w:shd w:val="clear" w:color="auto" w:fill="auto"/>
              </w:tcPr>
              <w:p w:rsidR="0043152D" w:rsidRPr="0043152D" w:rsidRDefault="005316AE" w:rsidP="005316AE">
                <w:pPr>
                  <w:rPr>
                    <w:rFonts w:eastAsia="Times New Roman" w:cs="Times New Roman"/>
                    <w:sz w:val="22"/>
                    <w:szCs w:val="22"/>
                    <w:lang w:eastAsia="lt-LT"/>
                  </w:rPr>
                </w:pPr>
                <w:r>
                  <w:rPr>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85197E"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8.</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projekte nustatyta sprendimų dėl mažareikšmiškumo priėmimo tvarka</w:t>
                </w:r>
              </w:p>
            </w:tc>
            <w:tc>
              <w:tcPr>
                <w:tcW w:w="3969" w:type="dxa"/>
                <w:gridSpan w:val="2"/>
                <w:shd w:val="clear" w:color="auto" w:fill="auto"/>
              </w:tcPr>
              <w:p w:rsidR="0043152D" w:rsidRPr="001C29D6" w:rsidRDefault="001C29D6" w:rsidP="0043152D">
                <w:pPr>
                  <w:rPr>
                    <w:rFonts w:eastAsia="Times New Roman" w:cs="Times New Roman"/>
                    <w:i/>
                    <w:sz w:val="22"/>
                    <w:szCs w:val="22"/>
                    <w:lang w:eastAsia="lt-LT"/>
                  </w:rPr>
                </w:pPr>
                <w:r w:rsidRPr="001C29D6">
                  <w:rPr>
                    <w:rFonts w:eastAsia="Times New Roman" w:cs="Times New Roman"/>
                    <w:i/>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b/>
                    <w:sz w:val="22"/>
                    <w:szCs w:val="22"/>
                    <w:lang w:eastAsia="lt-LT"/>
                  </w:rPr>
                </w:pPr>
              </w:p>
            </w:tc>
            <w:tc>
              <w:tcPr>
                <w:tcW w:w="2703" w:type="dxa"/>
                <w:shd w:val="clear" w:color="auto" w:fill="auto"/>
              </w:tcPr>
              <w:p w:rsidR="0043152D" w:rsidRPr="0043152D" w:rsidRDefault="0085197E"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9.</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Jeigu pagal numatomą reguliavimą sprendimus priima kolegialus subjektas, teisės akto projekte nustatyta kolegialaus sprendimus priimančio subjekto:</w:t>
                </w:r>
              </w:p>
              <w:p w:rsidR="0043152D" w:rsidRPr="0043152D" w:rsidRDefault="0043152D" w:rsidP="0043152D">
                <w:pPr>
                  <w:ind w:left="33"/>
                  <w:rPr>
                    <w:rFonts w:eastAsia="Times New Roman" w:cs="Times New Roman"/>
                    <w:sz w:val="22"/>
                    <w:szCs w:val="22"/>
                  </w:rPr>
                </w:pPr>
                <w:r w:rsidRPr="0043152D">
                  <w:rPr>
                    <w:rFonts w:eastAsia="Times New Roman" w:cs="Times New Roman"/>
                    <w:sz w:val="22"/>
                    <w:szCs w:val="22"/>
                  </w:rPr>
                  <w:t>9.1. konkretus narių skaičius, užtikrinantis kolegialaus sprendimus priimančio subjekto veiklos objektyvumą;</w:t>
                </w:r>
              </w:p>
              <w:p w:rsidR="0043152D" w:rsidRPr="0043152D" w:rsidRDefault="0043152D" w:rsidP="0043152D">
                <w:pPr>
                  <w:ind w:left="33"/>
                  <w:rPr>
                    <w:rFonts w:eastAsia="Times New Roman" w:cs="Times New Roman"/>
                    <w:sz w:val="22"/>
                    <w:szCs w:val="22"/>
                  </w:rPr>
                </w:pPr>
                <w:r w:rsidRPr="0043152D">
                  <w:rPr>
                    <w:rFonts w:eastAsia="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9.3</w:t>
                </w:r>
                <w:r w:rsidRPr="0043152D">
                  <w:rPr>
                    <w:rFonts w:eastAsia="Times New Roman" w:cs="Times New Roman"/>
                    <w:spacing w:val="-4"/>
                    <w:sz w:val="22"/>
                    <w:szCs w:val="22"/>
                    <w:lang w:eastAsia="lt-LT"/>
                  </w:rPr>
                  <w:t>. narių skyrimo mechanizmas;</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9.4. narių rotacija ir kadencijų skaičius ir trukmė;</w:t>
                </w:r>
              </w:p>
              <w:p w:rsidR="0043152D" w:rsidRPr="0043152D" w:rsidRDefault="0043152D" w:rsidP="0043152D">
                <w:pPr>
                  <w:rPr>
                    <w:rFonts w:eastAsia="Times New Roman" w:cs="Times New Roman"/>
                    <w:sz w:val="22"/>
                    <w:szCs w:val="22"/>
                  </w:rPr>
                </w:pPr>
                <w:r w:rsidRPr="0043152D">
                  <w:rPr>
                    <w:rFonts w:eastAsia="Times New Roman" w:cs="Times New Roman"/>
                    <w:sz w:val="22"/>
                    <w:szCs w:val="22"/>
                  </w:rPr>
                  <w:t>9.5. veiklos pobūdis laiko atžvilgiu;</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lastRenderedPageBreak/>
                  <w:t>9.6. individuali narių atsakomybė</w:t>
                </w:r>
              </w:p>
            </w:tc>
            <w:tc>
              <w:tcPr>
                <w:tcW w:w="3969" w:type="dxa"/>
                <w:gridSpan w:val="2"/>
                <w:shd w:val="clear" w:color="auto" w:fill="auto"/>
              </w:tcPr>
              <w:p w:rsidR="0043152D" w:rsidRPr="0043152D" w:rsidRDefault="00535755" w:rsidP="0043152D">
                <w:pPr>
                  <w:rPr>
                    <w:rFonts w:eastAsia="Times New Roman" w:cs="Times New Roman"/>
                    <w:i/>
                    <w:sz w:val="22"/>
                    <w:szCs w:val="22"/>
                    <w:lang w:eastAsia="lt-LT"/>
                  </w:rPr>
                </w:pPr>
                <w:r>
                  <w:rPr>
                    <w:rFonts w:eastAsia="Times New Roman" w:cs="Times New Roman"/>
                    <w:i/>
                    <w:sz w:val="22"/>
                    <w:szCs w:val="22"/>
                    <w:lang w:eastAsia="lt-LT"/>
                  </w:rPr>
                  <w:lastRenderedPageBreak/>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85197E"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10.</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xml:space="preserve">Teisės akto projekto nuostatoms įgyvendinti numatytos administracinės procedūros yra </w:t>
                </w:r>
                <w:r w:rsidRPr="0043152D">
                  <w:rPr>
                    <w:rFonts w:eastAsia="Times New Roman" w:cs="Times New Roman"/>
                    <w:sz w:val="22"/>
                    <w:szCs w:val="22"/>
                    <w:shd w:val="clear" w:color="auto" w:fill="FFFFFF"/>
                    <w:lang w:eastAsia="lt-LT"/>
                  </w:rPr>
                  <w:t>būtinos,</w:t>
                </w:r>
                <w:r w:rsidRPr="0043152D">
                  <w:rPr>
                    <w:rFonts w:eastAsia="Times New Roman" w:cs="Times New Roman"/>
                    <w:sz w:val="22"/>
                    <w:szCs w:val="22"/>
                    <w:lang w:eastAsia="lt-LT"/>
                  </w:rPr>
                  <w:t xml:space="preserve"> nustatyta išsami jų taikymo tvarka </w:t>
                </w:r>
              </w:p>
            </w:tc>
            <w:tc>
              <w:tcPr>
                <w:tcW w:w="3969" w:type="dxa"/>
                <w:gridSpan w:val="2"/>
                <w:shd w:val="clear" w:color="auto" w:fill="auto"/>
              </w:tcPr>
              <w:p w:rsidR="0043152D" w:rsidRPr="0043152D" w:rsidRDefault="005316AE" w:rsidP="0043152D">
                <w:pPr>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keepNext/>
                  <w:jc w:val="center"/>
                  <w:rPr>
                    <w:rFonts w:eastAsia="Times New Roman" w:cs="Times New Roman"/>
                    <w:sz w:val="22"/>
                    <w:szCs w:val="22"/>
                    <w:lang w:eastAsia="lt-LT"/>
                  </w:rPr>
                </w:pPr>
                <w:r w:rsidRPr="0043152D">
                  <w:rPr>
                    <w:rFonts w:eastAsia="Times New Roman" w:cs="Times New Roman"/>
                    <w:sz w:val="22"/>
                    <w:szCs w:val="22"/>
                    <w:lang w:eastAsia="lt-LT"/>
                  </w:rPr>
                  <w:t>11.</w:t>
                </w:r>
              </w:p>
            </w:tc>
            <w:tc>
              <w:tcPr>
                <w:tcW w:w="3402" w:type="dxa"/>
                <w:gridSpan w:val="2"/>
                <w:shd w:val="clear" w:color="auto" w:fill="auto"/>
              </w:tcPr>
              <w:p w:rsidR="0043152D" w:rsidRPr="0043152D" w:rsidRDefault="0043152D" w:rsidP="0043152D">
                <w:pPr>
                  <w:keepNext/>
                  <w:rPr>
                    <w:rFonts w:eastAsia="Times New Roman" w:cs="Times New Roman"/>
                    <w:sz w:val="22"/>
                    <w:szCs w:val="22"/>
                    <w:lang w:eastAsia="lt-LT"/>
                  </w:rPr>
                </w:pPr>
                <w:r w:rsidRPr="0043152D">
                  <w:rPr>
                    <w:rFonts w:eastAsia="Times New Roman" w:cs="Times New Roman"/>
                    <w:sz w:val="22"/>
                    <w:szCs w:val="22"/>
                    <w:lang w:eastAsia="lt-LT"/>
                  </w:rPr>
                  <w:t>Teisės akto projekte nustatytas baigtinis sąrašas motyvuotų atvejų, kai administracinė procedūra netaikoma</w:t>
                </w:r>
              </w:p>
            </w:tc>
            <w:tc>
              <w:tcPr>
                <w:tcW w:w="3969" w:type="dxa"/>
                <w:gridSpan w:val="2"/>
                <w:shd w:val="clear" w:color="auto" w:fill="auto"/>
              </w:tcPr>
              <w:p w:rsidR="0043152D" w:rsidRPr="0043152D" w:rsidRDefault="005316AE" w:rsidP="0043152D">
                <w:pPr>
                  <w:keepNext/>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keepNext/>
                  <w:rPr>
                    <w:rFonts w:eastAsia="Times New Roman" w:cs="Times New Roman"/>
                    <w:sz w:val="22"/>
                    <w:szCs w:val="22"/>
                    <w:lang w:eastAsia="lt-LT"/>
                  </w:rPr>
                </w:pPr>
              </w:p>
            </w:tc>
            <w:tc>
              <w:tcPr>
                <w:tcW w:w="2703" w:type="dxa"/>
                <w:shd w:val="clear" w:color="auto" w:fill="auto"/>
              </w:tcPr>
              <w:p w:rsidR="0043152D" w:rsidRPr="0043152D" w:rsidRDefault="004D704B" w:rsidP="0043152D">
                <w:pPr>
                  <w:keepNext/>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keepNext/>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12.</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projektas nustato jo nuostatoms įgyvendinti numatytų administracinių procedūrų ir sprendimo priėmimo konkrečius terminus</w:t>
                </w:r>
              </w:p>
            </w:tc>
            <w:tc>
              <w:tcPr>
                <w:tcW w:w="3969" w:type="dxa"/>
                <w:gridSpan w:val="2"/>
                <w:shd w:val="clear" w:color="auto" w:fill="auto"/>
              </w:tcPr>
              <w:p w:rsidR="0043152D" w:rsidRPr="0043152D" w:rsidRDefault="005316AE" w:rsidP="0043152D">
                <w:pPr>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13.</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projektas nustato motyvuotas terminų sustabdymo ir pratęsimo galimybes</w:t>
                </w:r>
              </w:p>
            </w:tc>
            <w:tc>
              <w:tcPr>
                <w:tcW w:w="3969" w:type="dxa"/>
                <w:gridSpan w:val="2"/>
                <w:shd w:val="clear" w:color="auto" w:fill="auto"/>
              </w:tcPr>
              <w:p w:rsidR="0043152D" w:rsidRPr="0043152D" w:rsidRDefault="005316AE" w:rsidP="0043152D">
                <w:pPr>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14.</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projektas nustato administracinių procedūrų viešinimo tvarką</w:t>
                </w:r>
              </w:p>
            </w:tc>
            <w:tc>
              <w:tcPr>
                <w:tcW w:w="3969" w:type="dxa"/>
                <w:gridSpan w:val="2"/>
                <w:shd w:val="clear" w:color="auto" w:fill="auto"/>
              </w:tcPr>
              <w:p w:rsidR="0043152D" w:rsidRPr="0043152D" w:rsidRDefault="0043152D" w:rsidP="0043152D">
                <w:pPr>
                  <w:rPr>
                    <w:rFonts w:eastAsia="Times New Roman" w:cs="Times New Roman"/>
                    <w:b/>
                    <w:sz w:val="22"/>
                    <w:szCs w:val="22"/>
                    <w:lang w:eastAsia="lt-LT"/>
                  </w:rPr>
                </w:pPr>
              </w:p>
            </w:tc>
            <w:tc>
              <w:tcPr>
                <w:tcW w:w="3827" w:type="dxa"/>
                <w:gridSpan w:val="2"/>
                <w:shd w:val="clear" w:color="auto" w:fill="auto"/>
              </w:tcPr>
              <w:p w:rsidR="0043152D" w:rsidRPr="0043152D" w:rsidRDefault="0043152D" w:rsidP="0043152D">
                <w:pPr>
                  <w:rPr>
                    <w:rFonts w:eastAsia="Times New Roman" w:cs="Times New Roman"/>
                    <w:b/>
                    <w:sz w:val="22"/>
                    <w:szCs w:val="22"/>
                    <w:lang w:eastAsia="lt-LT"/>
                  </w:rPr>
                </w:pPr>
              </w:p>
            </w:tc>
            <w:tc>
              <w:tcPr>
                <w:tcW w:w="2703" w:type="dxa"/>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15.</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projektas nustato kontrolės (priežiūros) procedūrą ir aiškius jos atlikimo kriterijus (atvejus, dažnį, fiksavimą, kontrolės rezultatų viešinimą ir panašiai)</w:t>
                </w:r>
              </w:p>
            </w:tc>
            <w:tc>
              <w:tcPr>
                <w:tcW w:w="3969" w:type="dxa"/>
                <w:gridSpan w:val="2"/>
                <w:shd w:val="clear" w:color="auto" w:fill="auto"/>
              </w:tcPr>
              <w:p w:rsidR="0043152D" w:rsidRPr="0043152D" w:rsidRDefault="005316AE" w:rsidP="0043152D">
                <w:pPr>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16.</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projekte nustatytos kontrolės (priežiūros) skaidrumo ir objektyvumo užtikrinimo priemonės</w:t>
                </w:r>
                <w:r w:rsidRPr="0043152D">
                  <w:rPr>
                    <w:rFonts w:eastAsia="Times New Roman" w:cs="Times New Roman"/>
                    <w:sz w:val="22"/>
                    <w:szCs w:val="22"/>
                    <w:vertAlign w:val="superscript"/>
                    <w:lang w:eastAsia="lt-LT"/>
                  </w:rPr>
                  <w:footnoteReference w:id="3"/>
                </w:r>
              </w:p>
            </w:tc>
            <w:tc>
              <w:tcPr>
                <w:tcW w:w="3969" w:type="dxa"/>
                <w:gridSpan w:val="2"/>
                <w:shd w:val="clear" w:color="auto" w:fill="auto"/>
              </w:tcPr>
              <w:p w:rsidR="0043152D" w:rsidRPr="0043152D" w:rsidRDefault="005316AE" w:rsidP="0043152D">
                <w:pPr>
                  <w:rPr>
                    <w:rFonts w:eastAsia="Times New Roman" w:cs="Times New Roman"/>
                    <w:sz w:val="22"/>
                    <w:szCs w:val="22"/>
                    <w:lang w:eastAsia="lt-LT"/>
                  </w:rPr>
                </w:pPr>
                <w:r>
                  <w:rPr>
                    <w:rFonts w:eastAsia="Times New Roman" w:cs="Times New Roman"/>
                    <w:sz w:val="22"/>
                    <w:szCs w:val="22"/>
                    <w:lang w:eastAsia="lt-LT"/>
                  </w:rPr>
                  <w:t xml:space="preserve">Nėra </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keepNext/>
                  <w:jc w:val="center"/>
                  <w:rPr>
                    <w:rFonts w:eastAsia="Times New Roman" w:cs="Times New Roman"/>
                    <w:sz w:val="22"/>
                    <w:szCs w:val="22"/>
                    <w:lang w:eastAsia="lt-LT"/>
                  </w:rPr>
                </w:pPr>
                <w:r w:rsidRPr="0043152D">
                  <w:rPr>
                    <w:rFonts w:eastAsia="Times New Roman" w:cs="Times New Roman"/>
                    <w:sz w:val="22"/>
                    <w:szCs w:val="22"/>
                    <w:lang w:eastAsia="lt-LT"/>
                  </w:rPr>
                  <w:lastRenderedPageBreak/>
                  <w:t>17.</w:t>
                </w:r>
              </w:p>
            </w:tc>
            <w:tc>
              <w:tcPr>
                <w:tcW w:w="3402" w:type="dxa"/>
                <w:gridSpan w:val="2"/>
                <w:shd w:val="clear" w:color="auto" w:fill="auto"/>
              </w:tcPr>
              <w:p w:rsidR="0043152D" w:rsidRPr="0043152D" w:rsidRDefault="0043152D" w:rsidP="0043152D">
                <w:pPr>
                  <w:keepNext/>
                  <w:rPr>
                    <w:rFonts w:eastAsia="Times New Roman" w:cs="Times New Roman"/>
                    <w:sz w:val="22"/>
                    <w:szCs w:val="22"/>
                    <w:lang w:eastAsia="lt-LT"/>
                  </w:rPr>
                </w:pPr>
                <w:r w:rsidRPr="0043152D">
                  <w:rPr>
                    <w:rFonts w:eastAsia="Times New Roman" w:cs="Times New Roman"/>
                    <w:sz w:val="22"/>
                    <w:szCs w:val="22"/>
                    <w:lang w:eastAsia="lt-LT"/>
                  </w:rPr>
                  <w:t>Teisės akto projekte nustatyta subjektų, su kuriais susijęs teisės akto projekto nuostatų įgyvendinimas, atsakomybės rūšis (tarnybinė, administracinė, baudžiamoji ir panašiai)</w:t>
                </w:r>
              </w:p>
            </w:tc>
            <w:tc>
              <w:tcPr>
                <w:tcW w:w="3969" w:type="dxa"/>
                <w:gridSpan w:val="2"/>
                <w:shd w:val="clear" w:color="auto" w:fill="auto"/>
              </w:tcPr>
              <w:p w:rsidR="0043152D" w:rsidRPr="005316AE" w:rsidRDefault="005316AE" w:rsidP="0043152D">
                <w:pPr>
                  <w:keepNext/>
                  <w:rPr>
                    <w:rFonts w:eastAsia="Times New Roman" w:cs="Times New Roman"/>
                    <w:sz w:val="22"/>
                    <w:szCs w:val="22"/>
                    <w:lang w:eastAsia="lt-LT"/>
                  </w:rPr>
                </w:pPr>
                <w:r w:rsidRPr="005316AE">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keepNext/>
                  <w:rPr>
                    <w:rFonts w:eastAsia="Times New Roman" w:cs="Times New Roman"/>
                    <w:b/>
                    <w:sz w:val="22"/>
                    <w:szCs w:val="22"/>
                    <w:lang w:eastAsia="lt-LT"/>
                  </w:rPr>
                </w:pPr>
              </w:p>
            </w:tc>
            <w:tc>
              <w:tcPr>
                <w:tcW w:w="2703" w:type="dxa"/>
                <w:shd w:val="clear" w:color="auto" w:fill="auto"/>
              </w:tcPr>
              <w:p w:rsidR="0043152D" w:rsidRPr="0043152D" w:rsidRDefault="004D704B" w:rsidP="0043152D">
                <w:pPr>
                  <w:keepNext/>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keepNext/>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18.</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gridSpan w:val="2"/>
                <w:shd w:val="clear" w:color="auto" w:fill="auto"/>
              </w:tcPr>
              <w:p w:rsidR="0043152D" w:rsidRPr="0043152D" w:rsidRDefault="005316AE" w:rsidP="0043152D">
                <w:pPr>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7A6DBE">
            <w:trPr>
              <w:trHeight w:val="23"/>
            </w:trPr>
            <w:tc>
              <w:tcPr>
                <w:tcW w:w="709" w:type="dxa"/>
                <w:shd w:val="clear" w:color="auto" w:fill="auto"/>
              </w:tcPr>
              <w:p w:rsidR="0043152D" w:rsidRPr="0043152D" w:rsidRDefault="0043152D" w:rsidP="0043152D">
                <w:pPr>
                  <w:jc w:val="center"/>
                  <w:rPr>
                    <w:rFonts w:eastAsia="Times New Roman" w:cs="Times New Roman"/>
                    <w:sz w:val="22"/>
                    <w:szCs w:val="22"/>
                    <w:lang w:eastAsia="lt-LT"/>
                  </w:rPr>
                </w:pPr>
                <w:r w:rsidRPr="0043152D">
                  <w:rPr>
                    <w:rFonts w:eastAsia="Times New Roman" w:cs="Times New Roman"/>
                    <w:sz w:val="22"/>
                    <w:szCs w:val="22"/>
                    <w:lang w:eastAsia="lt-LT"/>
                  </w:rPr>
                  <w:t>19.</w:t>
                </w:r>
              </w:p>
            </w:tc>
            <w:tc>
              <w:tcPr>
                <w:tcW w:w="3402" w:type="dxa"/>
                <w:gridSpan w:val="2"/>
                <w:shd w:val="clear" w:color="auto" w:fill="auto"/>
              </w:tcPr>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Kiti svarbūs kriterijai</w:t>
                </w:r>
              </w:p>
            </w:tc>
            <w:tc>
              <w:tcPr>
                <w:tcW w:w="3969" w:type="dxa"/>
                <w:gridSpan w:val="2"/>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Nėra</w:t>
                </w:r>
              </w:p>
            </w:tc>
            <w:tc>
              <w:tcPr>
                <w:tcW w:w="382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2703" w:type="dxa"/>
                <w:shd w:val="clear" w:color="auto" w:fill="auto"/>
              </w:tcPr>
              <w:p w:rsidR="0043152D" w:rsidRPr="0043152D" w:rsidRDefault="004D704B" w:rsidP="0043152D">
                <w:pPr>
                  <w:rPr>
                    <w:rFonts w:eastAsia="Times New Roman" w:cs="Times New Roman"/>
                    <w:sz w:val="22"/>
                    <w:szCs w:val="22"/>
                    <w:lang w:eastAsia="lt-LT"/>
                  </w:rPr>
                </w:pPr>
                <w:r>
                  <w:rPr>
                    <w:rFonts w:eastAsia="Times New Roman" w:cs="Times New Roman"/>
                    <w:sz w:val="22"/>
                    <w:szCs w:val="22"/>
                    <w:lang w:eastAsia="lt-LT"/>
                  </w:rPr>
                  <w:t>X</w:t>
                </w:r>
                <w:r w:rsidR="0043152D" w:rsidRPr="0043152D">
                  <w:rPr>
                    <w:rFonts w:eastAsia="Times New Roman" w:cs="Times New Roman"/>
                    <w:sz w:val="22"/>
                    <w:szCs w:val="22"/>
                    <w:lang w:eastAsia="lt-LT"/>
                  </w:rPr>
                  <w:t xml:space="preserve"> tenkina</w:t>
                </w: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 netenkina</w:t>
                </w:r>
              </w:p>
            </w:tc>
          </w:tr>
          <w:tr w:rsidR="0043152D" w:rsidRPr="0043152D" w:rsidTr="004D704B">
            <w:trPr>
              <w:trHeight w:val="886"/>
            </w:trPr>
            <w:tc>
              <w:tcPr>
                <w:tcW w:w="2457" w:type="dxa"/>
                <w:gridSpan w:val="2"/>
                <w:shd w:val="clear" w:color="auto" w:fill="auto"/>
              </w:tcPr>
              <w:p w:rsidR="0043152D" w:rsidRPr="0043152D" w:rsidRDefault="0043152D" w:rsidP="0043152D">
                <w:pPr>
                  <w:rPr>
                    <w:rFonts w:eastAsia="Times New Roman" w:cs="Times New Roman"/>
                    <w:sz w:val="22"/>
                    <w:szCs w:val="22"/>
                    <w:lang w:eastAsia="lt-LT"/>
                  </w:rPr>
                </w:pP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projekto tiesioginis rengėjas:</w:t>
                </w:r>
              </w:p>
            </w:tc>
            <w:tc>
              <w:tcPr>
                <w:tcW w:w="4773" w:type="dxa"/>
                <w:gridSpan w:val="2"/>
                <w:tcBorders>
                  <w:bottom w:val="single" w:sz="4" w:space="0" w:color="auto"/>
                </w:tcBorders>
                <w:shd w:val="clear" w:color="auto" w:fill="auto"/>
              </w:tcPr>
              <w:p w:rsidR="004D704B" w:rsidRDefault="004D704B" w:rsidP="004D704B">
                <w:pPr>
                  <w:rPr>
                    <w:rFonts w:eastAsia="Times New Roman" w:cs="Times New Roman"/>
                    <w:sz w:val="22"/>
                    <w:szCs w:val="22"/>
                    <w:lang w:eastAsia="lt-LT"/>
                  </w:rPr>
                </w:pPr>
              </w:p>
              <w:p w:rsidR="0043152D" w:rsidRPr="0043152D" w:rsidRDefault="004D704B" w:rsidP="00EA5783">
                <w:pPr>
                  <w:rPr>
                    <w:rFonts w:eastAsia="Times New Roman" w:cs="Times New Roman"/>
                    <w:sz w:val="22"/>
                    <w:szCs w:val="22"/>
                    <w:lang w:eastAsia="lt-LT"/>
                  </w:rPr>
                </w:pPr>
                <w:r>
                  <w:rPr>
                    <w:rFonts w:eastAsia="Times New Roman" w:cs="Times New Roman"/>
                    <w:sz w:val="22"/>
                    <w:szCs w:val="22"/>
                    <w:lang w:eastAsia="lt-LT"/>
                  </w:rPr>
                  <w:t>S</w:t>
                </w:r>
                <w:r w:rsidR="00EA5783">
                  <w:rPr>
                    <w:rFonts w:eastAsia="Times New Roman" w:cs="Times New Roman"/>
                    <w:sz w:val="22"/>
                    <w:szCs w:val="22"/>
                    <w:lang w:eastAsia="lt-LT"/>
                  </w:rPr>
                  <w:t>ocialinių reikalų departamento</w:t>
                </w:r>
                <w:r>
                  <w:rPr>
                    <w:rFonts w:eastAsia="Times New Roman" w:cs="Times New Roman"/>
                    <w:sz w:val="22"/>
                    <w:szCs w:val="22"/>
                    <w:lang w:eastAsia="lt-LT"/>
                  </w:rPr>
                  <w:t xml:space="preserve"> Sveikatos apsaugos skyriaus vyriausioji inspektorė Nina Gendvilienė</w:t>
                </w:r>
              </w:p>
            </w:tc>
            <w:tc>
              <w:tcPr>
                <w:tcW w:w="2434" w:type="dxa"/>
                <w:gridSpan w:val="2"/>
                <w:shd w:val="clear" w:color="auto" w:fill="auto"/>
              </w:tcPr>
              <w:p w:rsidR="0043152D" w:rsidRPr="0043152D" w:rsidRDefault="0043152D" w:rsidP="0043152D">
                <w:pPr>
                  <w:rPr>
                    <w:rFonts w:eastAsia="Times New Roman" w:cs="Times New Roman"/>
                    <w:sz w:val="22"/>
                    <w:szCs w:val="22"/>
                    <w:lang w:eastAsia="lt-LT"/>
                  </w:rPr>
                </w:pPr>
              </w:p>
              <w:p w:rsidR="0043152D" w:rsidRPr="0043152D" w:rsidRDefault="0043152D" w:rsidP="0043152D">
                <w:pPr>
                  <w:rPr>
                    <w:rFonts w:eastAsia="Times New Roman" w:cs="Times New Roman"/>
                    <w:sz w:val="22"/>
                    <w:szCs w:val="22"/>
                    <w:lang w:eastAsia="lt-LT"/>
                  </w:rPr>
                </w:pPr>
                <w:r w:rsidRPr="0043152D">
                  <w:rPr>
                    <w:rFonts w:eastAsia="Times New Roman" w:cs="Times New Roman"/>
                    <w:sz w:val="22"/>
                    <w:szCs w:val="22"/>
                    <w:lang w:eastAsia="lt-LT"/>
                  </w:rPr>
                  <w:t>Teisės akto projekto vertintojas:</w:t>
                </w:r>
              </w:p>
            </w:tc>
            <w:tc>
              <w:tcPr>
                <w:tcW w:w="4946" w:type="dxa"/>
                <w:gridSpan w:val="2"/>
                <w:tcBorders>
                  <w:bottom w:val="single" w:sz="4" w:space="0" w:color="auto"/>
                </w:tcBorders>
                <w:shd w:val="clear" w:color="auto" w:fill="auto"/>
              </w:tcPr>
              <w:p w:rsidR="0043152D" w:rsidRDefault="0043152D" w:rsidP="0043152D">
                <w:pPr>
                  <w:rPr>
                    <w:rFonts w:eastAsia="Times New Roman" w:cs="Times New Roman"/>
                    <w:sz w:val="22"/>
                    <w:szCs w:val="22"/>
                    <w:lang w:eastAsia="lt-LT"/>
                  </w:rPr>
                </w:pPr>
              </w:p>
              <w:p w:rsidR="004D704B" w:rsidRDefault="004D704B" w:rsidP="004D704B">
                <w:pPr>
                  <w:rPr>
                    <w:rFonts w:eastAsia="Times New Roman" w:cs="Times New Roman"/>
                    <w:sz w:val="22"/>
                    <w:szCs w:val="22"/>
                    <w:lang w:eastAsia="lt-LT"/>
                  </w:rPr>
                </w:pPr>
                <w:r>
                  <w:rPr>
                    <w:rFonts w:eastAsia="Times New Roman" w:cs="Times New Roman"/>
                    <w:sz w:val="22"/>
                    <w:szCs w:val="22"/>
                    <w:lang w:eastAsia="lt-LT"/>
                  </w:rPr>
                  <w:t xml:space="preserve">Socialinių reikalų departamento direktorė </w:t>
                </w:r>
              </w:p>
              <w:p w:rsidR="004D704B" w:rsidRPr="0043152D" w:rsidRDefault="004D704B" w:rsidP="004D704B">
                <w:pPr>
                  <w:rPr>
                    <w:rFonts w:eastAsia="Times New Roman" w:cs="Times New Roman"/>
                    <w:sz w:val="22"/>
                    <w:szCs w:val="22"/>
                    <w:lang w:eastAsia="lt-LT"/>
                  </w:rPr>
                </w:pPr>
                <w:r>
                  <w:rPr>
                    <w:rFonts w:eastAsia="Times New Roman" w:cs="Times New Roman"/>
                    <w:sz w:val="22"/>
                    <w:szCs w:val="22"/>
                    <w:lang w:eastAsia="lt-LT"/>
                  </w:rPr>
                  <w:t>Audra Daujotienė</w:t>
                </w:r>
              </w:p>
            </w:tc>
          </w:tr>
          <w:tr w:rsidR="0043152D" w:rsidRPr="0043152D" w:rsidTr="007A6DBE">
            <w:trPr>
              <w:trHeight w:val="23"/>
            </w:trPr>
            <w:tc>
              <w:tcPr>
                <w:tcW w:w="245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4773" w:type="dxa"/>
                <w:gridSpan w:val="2"/>
                <w:tcBorders>
                  <w:top w:val="single" w:sz="4" w:space="0" w:color="auto"/>
                </w:tcBorders>
                <w:shd w:val="clear" w:color="auto" w:fill="auto"/>
              </w:tcPr>
              <w:p w:rsidR="0043152D" w:rsidRPr="004D704B" w:rsidRDefault="0043152D" w:rsidP="004D704B">
                <w:pPr>
                  <w:ind w:left="-11" w:firstLine="11"/>
                  <w:rPr>
                    <w:rFonts w:eastAsia="Times New Roman" w:cs="Times New Roman"/>
                    <w:sz w:val="18"/>
                    <w:szCs w:val="18"/>
                    <w:lang w:eastAsia="lt-LT"/>
                  </w:rPr>
                </w:pPr>
                <w:r w:rsidRPr="004D704B">
                  <w:rPr>
                    <w:rFonts w:eastAsia="Times New Roman" w:cs="Times New Roman"/>
                    <w:sz w:val="18"/>
                    <w:szCs w:val="18"/>
                    <w:lang w:eastAsia="lt-LT"/>
                  </w:rPr>
                  <w:t xml:space="preserve">(pareigos)                       </w:t>
                </w:r>
                <w:r w:rsidR="004D704B" w:rsidRPr="004D704B">
                  <w:rPr>
                    <w:rFonts w:eastAsia="Times New Roman" w:cs="Times New Roman"/>
                    <w:sz w:val="18"/>
                    <w:szCs w:val="18"/>
                    <w:lang w:eastAsia="lt-LT"/>
                  </w:rPr>
                  <w:t xml:space="preserve">                              </w:t>
                </w:r>
                <w:r w:rsidRPr="004D704B">
                  <w:rPr>
                    <w:rFonts w:eastAsia="Times New Roman" w:cs="Times New Roman"/>
                    <w:sz w:val="18"/>
                    <w:szCs w:val="18"/>
                    <w:lang w:eastAsia="lt-LT"/>
                  </w:rPr>
                  <w:t>(vardas ir pavardė)</w:t>
                </w:r>
              </w:p>
            </w:tc>
            <w:tc>
              <w:tcPr>
                <w:tcW w:w="2434"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4946" w:type="dxa"/>
                <w:gridSpan w:val="2"/>
                <w:tcBorders>
                  <w:top w:val="single" w:sz="4" w:space="0" w:color="auto"/>
                </w:tcBorders>
                <w:shd w:val="clear" w:color="auto" w:fill="auto"/>
              </w:tcPr>
              <w:p w:rsidR="0043152D" w:rsidRPr="004D704B" w:rsidRDefault="0043152D" w:rsidP="0043152D">
                <w:pPr>
                  <w:ind w:left="-11" w:firstLine="11"/>
                  <w:rPr>
                    <w:rFonts w:eastAsia="Times New Roman" w:cs="Times New Roman"/>
                    <w:sz w:val="18"/>
                    <w:szCs w:val="18"/>
                    <w:lang w:eastAsia="lt-LT"/>
                  </w:rPr>
                </w:pPr>
                <w:r w:rsidRPr="004D704B">
                  <w:rPr>
                    <w:rFonts w:eastAsia="Times New Roman" w:cs="Times New Roman"/>
                    <w:sz w:val="18"/>
                    <w:szCs w:val="18"/>
                    <w:lang w:eastAsia="lt-LT"/>
                  </w:rPr>
                  <w:t>(pareigos)                                       (vardas ir pavardė)</w:t>
                </w:r>
              </w:p>
            </w:tc>
          </w:tr>
          <w:tr w:rsidR="0043152D" w:rsidRPr="0043152D" w:rsidTr="007A6DBE">
            <w:trPr>
              <w:trHeight w:val="23"/>
            </w:trPr>
            <w:tc>
              <w:tcPr>
                <w:tcW w:w="2457" w:type="dxa"/>
                <w:gridSpan w:val="2"/>
                <w:shd w:val="clear" w:color="auto" w:fill="auto"/>
              </w:tcPr>
              <w:p w:rsidR="0043152D" w:rsidRDefault="0043152D" w:rsidP="0043152D">
                <w:pPr>
                  <w:rPr>
                    <w:rFonts w:eastAsia="Times New Roman" w:cs="Times New Roman"/>
                    <w:sz w:val="22"/>
                    <w:szCs w:val="22"/>
                    <w:lang w:eastAsia="lt-LT"/>
                  </w:rPr>
                </w:pPr>
              </w:p>
              <w:p w:rsidR="00EA5783" w:rsidRPr="0043152D" w:rsidRDefault="00EA5783" w:rsidP="0043152D">
                <w:pPr>
                  <w:rPr>
                    <w:rFonts w:eastAsia="Times New Roman" w:cs="Times New Roman"/>
                    <w:sz w:val="22"/>
                    <w:szCs w:val="22"/>
                    <w:lang w:eastAsia="lt-LT"/>
                  </w:rPr>
                </w:pPr>
              </w:p>
            </w:tc>
            <w:tc>
              <w:tcPr>
                <w:tcW w:w="4773" w:type="dxa"/>
                <w:gridSpan w:val="2"/>
                <w:tcBorders>
                  <w:bottom w:val="single" w:sz="4" w:space="0" w:color="auto"/>
                </w:tcBorders>
                <w:shd w:val="clear" w:color="auto" w:fill="auto"/>
              </w:tcPr>
              <w:p w:rsidR="0043152D" w:rsidRPr="0043152D" w:rsidRDefault="0043152D" w:rsidP="0043152D">
                <w:pPr>
                  <w:rPr>
                    <w:rFonts w:eastAsia="Times New Roman" w:cs="Times New Roman"/>
                    <w:sz w:val="22"/>
                    <w:szCs w:val="22"/>
                    <w:lang w:eastAsia="lt-LT"/>
                  </w:rPr>
                </w:pPr>
              </w:p>
            </w:tc>
            <w:tc>
              <w:tcPr>
                <w:tcW w:w="2434"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4946" w:type="dxa"/>
                <w:gridSpan w:val="2"/>
                <w:tcBorders>
                  <w:bottom w:val="single" w:sz="4" w:space="0" w:color="auto"/>
                </w:tcBorders>
                <w:shd w:val="clear" w:color="auto" w:fill="auto"/>
              </w:tcPr>
              <w:p w:rsidR="0043152D" w:rsidRPr="0043152D" w:rsidRDefault="0043152D" w:rsidP="0043152D">
                <w:pPr>
                  <w:ind w:left="-11" w:firstLine="11"/>
                  <w:rPr>
                    <w:rFonts w:eastAsia="Times New Roman" w:cs="Times New Roman"/>
                    <w:sz w:val="22"/>
                    <w:szCs w:val="22"/>
                    <w:lang w:eastAsia="lt-LT"/>
                  </w:rPr>
                </w:pPr>
              </w:p>
            </w:tc>
          </w:tr>
          <w:tr w:rsidR="0043152D" w:rsidRPr="0043152D" w:rsidTr="007A6DBE">
            <w:trPr>
              <w:trHeight w:val="23"/>
            </w:trPr>
            <w:tc>
              <w:tcPr>
                <w:tcW w:w="2457"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4773" w:type="dxa"/>
                <w:gridSpan w:val="2"/>
                <w:shd w:val="clear" w:color="auto" w:fill="auto"/>
              </w:tcPr>
              <w:p w:rsidR="0043152D" w:rsidRPr="004D704B" w:rsidRDefault="0043152D" w:rsidP="0043152D">
                <w:pPr>
                  <w:ind w:left="-11" w:firstLine="11"/>
                  <w:rPr>
                    <w:rFonts w:eastAsia="Times New Roman" w:cs="Times New Roman"/>
                    <w:sz w:val="18"/>
                    <w:szCs w:val="18"/>
                    <w:lang w:eastAsia="lt-LT"/>
                  </w:rPr>
                </w:pPr>
                <w:r w:rsidRPr="004D704B">
                  <w:rPr>
                    <w:rFonts w:eastAsia="Times New Roman" w:cs="Times New Roman"/>
                    <w:sz w:val="18"/>
                    <w:szCs w:val="18"/>
                    <w:lang w:eastAsia="lt-LT"/>
                  </w:rPr>
                  <w:t xml:space="preserve">(parašas)                                     </w:t>
                </w:r>
                <w:r w:rsidR="004D704B">
                  <w:rPr>
                    <w:rFonts w:eastAsia="Times New Roman" w:cs="Times New Roman"/>
                    <w:sz w:val="18"/>
                    <w:szCs w:val="18"/>
                    <w:lang w:eastAsia="lt-LT"/>
                  </w:rPr>
                  <w:t xml:space="preserve">                  </w:t>
                </w:r>
                <w:r w:rsidRPr="004D704B">
                  <w:rPr>
                    <w:rFonts w:eastAsia="Times New Roman" w:cs="Times New Roman"/>
                    <w:sz w:val="18"/>
                    <w:szCs w:val="18"/>
                    <w:lang w:eastAsia="lt-LT"/>
                  </w:rPr>
                  <w:t xml:space="preserve"> (data)</w:t>
                </w:r>
              </w:p>
            </w:tc>
            <w:tc>
              <w:tcPr>
                <w:tcW w:w="2434" w:type="dxa"/>
                <w:gridSpan w:val="2"/>
                <w:shd w:val="clear" w:color="auto" w:fill="auto"/>
              </w:tcPr>
              <w:p w:rsidR="0043152D" w:rsidRPr="0043152D" w:rsidRDefault="0043152D" w:rsidP="0043152D">
                <w:pPr>
                  <w:rPr>
                    <w:rFonts w:eastAsia="Times New Roman" w:cs="Times New Roman"/>
                    <w:sz w:val="22"/>
                    <w:szCs w:val="22"/>
                    <w:lang w:eastAsia="lt-LT"/>
                  </w:rPr>
                </w:pPr>
              </w:p>
            </w:tc>
            <w:tc>
              <w:tcPr>
                <w:tcW w:w="4946" w:type="dxa"/>
                <w:gridSpan w:val="2"/>
                <w:tcBorders>
                  <w:top w:val="single" w:sz="4" w:space="0" w:color="auto"/>
                </w:tcBorders>
                <w:shd w:val="clear" w:color="auto" w:fill="auto"/>
              </w:tcPr>
              <w:p w:rsidR="0043152D" w:rsidRPr="004D704B" w:rsidRDefault="0043152D" w:rsidP="0043152D">
                <w:pPr>
                  <w:ind w:left="-11" w:firstLine="64"/>
                  <w:rPr>
                    <w:rFonts w:eastAsia="Times New Roman" w:cs="Times New Roman"/>
                    <w:sz w:val="18"/>
                    <w:szCs w:val="18"/>
                    <w:lang w:eastAsia="lt-LT"/>
                  </w:rPr>
                </w:pPr>
                <w:r w:rsidRPr="004D704B">
                  <w:rPr>
                    <w:rFonts w:eastAsia="Times New Roman" w:cs="Times New Roman"/>
                    <w:sz w:val="18"/>
                    <w:szCs w:val="18"/>
                    <w:lang w:eastAsia="lt-LT"/>
                  </w:rPr>
                  <w:t>(parašas)                                                     (data)</w:t>
                </w:r>
              </w:p>
            </w:tc>
          </w:tr>
        </w:tbl>
        <w:p w:rsidR="0043152D" w:rsidRPr="0043152D" w:rsidRDefault="00CB272E" w:rsidP="0043152D">
          <w:pPr>
            <w:tabs>
              <w:tab w:val="left" w:pos="6237"/>
              <w:tab w:val="right" w:pos="8306"/>
            </w:tabs>
            <w:rPr>
              <w:rFonts w:eastAsia="Times New Roman" w:cs="Times New Roman"/>
              <w:szCs w:val="20"/>
              <w:lang w:eastAsia="lt-LT"/>
            </w:rPr>
          </w:pPr>
        </w:p>
      </w:sdtContent>
    </w:sdt>
    <w:p w:rsidR="007D3B8C" w:rsidRDefault="007D3B8C"/>
    <w:sectPr w:rsidR="007D3B8C" w:rsidSect="001C29D6">
      <w:headerReference w:type="even" r:id="rId6"/>
      <w:headerReference w:type="default" r:id="rId7"/>
      <w:pgSz w:w="16838" w:h="11906" w:orient="landscape" w:code="9"/>
      <w:pgMar w:top="737" w:right="567" w:bottom="397"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2E" w:rsidRDefault="00CB272E" w:rsidP="0043152D">
      <w:r>
        <w:separator/>
      </w:r>
    </w:p>
  </w:endnote>
  <w:endnote w:type="continuationSeparator" w:id="0">
    <w:p w:rsidR="00CB272E" w:rsidRDefault="00CB272E" w:rsidP="0043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2E" w:rsidRDefault="00CB272E" w:rsidP="0043152D">
      <w:r>
        <w:separator/>
      </w:r>
    </w:p>
  </w:footnote>
  <w:footnote w:type="continuationSeparator" w:id="0">
    <w:p w:rsidR="00CB272E" w:rsidRDefault="00CB272E" w:rsidP="0043152D">
      <w:r>
        <w:continuationSeparator/>
      </w:r>
    </w:p>
  </w:footnote>
  <w:footnote w:id="1">
    <w:p w:rsidR="0043152D" w:rsidRDefault="0043152D" w:rsidP="0043152D">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43152D" w:rsidRDefault="0043152D" w:rsidP="0043152D">
      <w:pPr>
        <w:jc w:val="both"/>
        <w:rPr>
          <w:sz w:val="20"/>
        </w:rPr>
      </w:pPr>
      <w:r>
        <w:rPr>
          <w:sz w:val="20"/>
          <w:vertAlign w:val="superscript"/>
        </w:rPr>
        <w:footnoteRef/>
      </w:r>
      <w:r>
        <w:rPr>
          <w:sz w:val="20"/>
        </w:rPr>
        <w:t xml:space="preserve"> Tas pat.</w:t>
      </w:r>
    </w:p>
  </w:footnote>
  <w:footnote w:id="3">
    <w:p w:rsidR="0043152D" w:rsidRDefault="0043152D" w:rsidP="0043152D">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B2" w:rsidRDefault="00CB272E">
    <w:pPr>
      <w:framePr w:wrap="auto" w:vAnchor="text" w:hAnchor="margin" w:xAlign="center" w:y="1"/>
      <w:tabs>
        <w:tab w:val="center" w:pos="4153"/>
        <w:tab w:val="right" w:pos="8306"/>
      </w:tabs>
      <w:rPr>
        <w:lang w:eastAsia="lt-LT"/>
      </w:rPr>
    </w:pPr>
  </w:p>
  <w:p w:rsidR="00475DB2" w:rsidRDefault="00CB272E">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B2" w:rsidRDefault="002466CF">
    <w:pPr>
      <w:framePr w:wrap="auto" w:vAnchor="text" w:hAnchor="margin" w:xAlign="center" w:y="1"/>
      <w:tabs>
        <w:tab w:val="center" w:pos="4153"/>
        <w:tab w:val="right" w:pos="8306"/>
      </w:tabs>
      <w:rPr>
        <w:lang w:eastAsia="lt-LT"/>
      </w:rPr>
    </w:pPr>
    <w:r>
      <w:rPr>
        <w:lang w:eastAsia="lt-LT"/>
      </w:rPr>
      <w:t>5</w:t>
    </w:r>
  </w:p>
  <w:p w:rsidR="00475DB2" w:rsidRDefault="00CB272E">
    <w:pPr>
      <w:tabs>
        <w:tab w:val="center" w:pos="4153"/>
        <w:tab w:val="right" w:pos="8306"/>
      </w:tabs>
      <w:rPr>
        <w:lang w:eastAsia="lt-LT"/>
      </w:rPr>
    </w:pPr>
  </w:p>
  <w:p w:rsidR="00475DB2" w:rsidRDefault="00CB272E">
    <w:pPr>
      <w:tabs>
        <w:tab w:val="center" w:pos="4153"/>
        <w:tab w:val="right" w:pos="8306"/>
      </w:tabs>
      <w:jc w:val="center"/>
      <w:rPr>
        <w:lang w:eastAsia="lt-LT"/>
      </w:rPr>
    </w:pPr>
  </w:p>
  <w:p w:rsidR="00475DB2" w:rsidRDefault="00CB272E">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2D"/>
    <w:rsid w:val="001C29D6"/>
    <w:rsid w:val="001F3A9A"/>
    <w:rsid w:val="002466CF"/>
    <w:rsid w:val="00330C70"/>
    <w:rsid w:val="00353293"/>
    <w:rsid w:val="0043152D"/>
    <w:rsid w:val="004D704B"/>
    <w:rsid w:val="005316AE"/>
    <w:rsid w:val="00535755"/>
    <w:rsid w:val="005A6C90"/>
    <w:rsid w:val="005C0CE4"/>
    <w:rsid w:val="005C6820"/>
    <w:rsid w:val="007D3B8C"/>
    <w:rsid w:val="0083589C"/>
    <w:rsid w:val="0085197E"/>
    <w:rsid w:val="00870401"/>
    <w:rsid w:val="009626CA"/>
    <w:rsid w:val="009C1418"/>
    <w:rsid w:val="00A508D5"/>
    <w:rsid w:val="00AC40F5"/>
    <w:rsid w:val="00C20669"/>
    <w:rsid w:val="00C258F2"/>
    <w:rsid w:val="00C50851"/>
    <w:rsid w:val="00CB272E"/>
    <w:rsid w:val="00D23143"/>
    <w:rsid w:val="00D253F4"/>
    <w:rsid w:val="00EA5783"/>
    <w:rsid w:val="00EC46D4"/>
    <w:rsid w:val="00EE0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DA0A5-6329-4DC2-A073-EB2C65E1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58F2"/>
    <w:pPr>
      <w:spacing w:after="0" w:line="240" w:lineRule="auto"/>
    </w:pPr>
    <w:rPr>
      <w:rFonts w:ascii="Times New Roman" w:hAnsi="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Paantrat">
    <w:name w:val="Subtitle"/>
    <w:basedOn w:val="prastasis"/>
    <w:next w:val="prastasis"/>
    <w:link w:val="Paantrat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rPr>
      <w:rFonts w:eastAsia="Times New Roman" w:cs="Times New Roman"/>
    </w:rPr>
  </w:style>
  <w:style w:type="character" w:styleId="Rykuspabraukimas">
    <w:name w:val="Intense Emphasis"/>
    <w:basedOn w:val="Numatytasispastraiposriftas"/>
    <w:uiPriority w:val="21"/>
    <w:qFormat/>
    <w:rsid w:val="00C258F2"/>
    <w:rPr>
      <w:b/>
      <w:bCs/>
      <w:i/>
      <w:iCs/>
      <w:color w:val="4F81BD" w:themeColor="accent1"/>
    </w:rPr>
  </w:style>
  <w:style w:type="paragraph" w:styleId="Debesliotekstas">
    <w:name w:val="Balloon Text"/>
    <w:basedOn w:val="prastasis"/>
    <w:link w:val="DebesliotekstasDiagrama"/>
    <w:uiPriority w:val="99"/>
    <w:semiHidden/>
    <w:unhideWhenUsed/>
    <w:rsid w:val="004315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1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3424</Words>
  <Characters>1952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cp:lastPrinted>2015-02-27T06:29:00Z</cp:lastPrinted>
  <dcterms:created xsi:type="dcterms:W3CDTF">2016-12-14T12:56:00Z</dcterms:created>
  <dcterms:modified xsi:type="dcterms:W3CDTF">2016-12-14T12:56:00Z</dcterms:modified>
</cp:coreProperties>
</file>