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BEBAA"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0F25D0ED" wp14:editId="38CCD390">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392CBB5D" w14:textId="77777777" w:rsidR="008354D5" w:rsidRPr="00AF7D08" w:rsidRDefault="008354D5" w:rsidP="00CA4D3B">
      <w:pPr>
        <w:keepNext/>
        <w:jc w:val="center"/>
        <w:outlineLvl w:val="0"/>
        <w:rPr>
          <w:b/>
        </w:rPr>
      </w:pPr>
    </w:p>
    <w:p w14:paraId="041CBA20" w14:textId="77777777" w:rsidR="00CA4D3B" w:rsidRDefault="00CA4D3B" w:rsidP="00CA4D3B">
      <w:pPr>
        <w:keepNext/>
        <w:jc w:val="center"/>
        <w:outlineLvl w:val="0"/>
        <w:rPr>
          <w:b/>
          <w:sz w:val="28"/>
          <w:szCs w:val="28"/>
        </w:rPr>
      </w:pPr>
      <w:r>
        <w:rPr>
          <w:b/>
          <w:sz w:val="28"/>
          <w:szCs w:val="28"/>
        </w:rPr>
        <w:t>KLAIPĖDOS MIESTO SAVIVALDYBĖS TARYBA</w:t>
      </w:r>
    </w:p>
    <w:p w14:paraId="5D1D2135" w14:textId="77777777" w:rsidR="00CA4D3B" w:rsidRDefault="00CA4D3B" w:rsidP="00CA4D3B">
      <w:pPr>
        <w:keepNext/>
        <w:jc w:val="center"/>
        <w:outlineLvl w:val="1"/>
        <w:rPr>
          <w:b/>
        </w:rPr>
      </w:pPr>
    </w:p>
    <w:p w14:paraId="418FE850" w14:textId="77777777" w:rsidR="00521D61" w:rsidRPr="00CB7939" w:rsidRDefault="00521D61" w:rsidP="00521D61">
      <w:pPr>
        <w:keepNext/>
        <w:jc w:val="center"/>
        <w:outlineLvl w:val="1"/>
        <w:rPr>
          <w:b/>
        </w:rPr>
      </w:pPr>
      <w:r w:rsidRPr="00CB7939">
        <w:rPr>
          <w:b/>
        </w:rPr>
        <w:t>SPRENDIMAS</w:t>
      </w:r>
    </w:p>
    <w:p w14:paraId="48D01AC8" w14:textId="77777777" w:rsidR="00521D61" w:rsidRPr="001D3C7E" w:rsidRDefault="00521D61" w:rsidP="00521D61">
      <w:pPr>
        <w:jc w:val="center"/>
      </w:pPr>
      <w:r w:rsidRPr="001D3C7E">
        <w:rPr>
          <w:b/>
          <w:caps/>
        </w:rPr>
        <w:t xml:space="preserve">DĖL </w:t>
      </w:r>
      <w:r>
        <w:rPr>
          <w:b/>
          <w:caps/>
        </w:rPr>
        <w:t>klaipėdos miesto savivaldybės tarybos 2016 m. kovo 31 d. sprendimo Nr. T2-89 „dėl klaipėdos miesto savivaldybei skirtų mokinio krepšelio lėšų paskirstymo ir naudojimo tvarkos aprašo patvirtinimo“ pakeitimo</w:t>
      </w:r>
    </w:p>
    <w:p w14:paraId="72A03CB3" w14:textId="77777777" w:rsidR="00CA4D3B" w:rsidRDefault="00CA4D3B" w:rsidP="00CA4D3B">
      <w:pPr>
        <w:jc w:val="center"/>
      </w:pPr>
    </w:p>
    <w:bookmarkStart w:id="1" w:name="registravimoDataIlga"/>
    <w:p w14:paraId="08459B43"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kovo 30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T2-72</w:t>
      </w:r>
      <w:r>
        <w:rPr>
          <w:noProof/>
        </w:rPr>
        <w:fldChar w:fldCharType="end"/>
      </w:r>
      <w:bookmarkEnd w:id="2"/>
    </w:p>
    <w:p w14:paraId="7162131B" w14:textId="77777777" w:rsidR="00597EE8" w:rsidRDefault="00597EE8" w:rsidP="00597EE8">
      <w:pPr>
        <w:tabs>
          <w:tab w:val="left" w:pos="5070"/>
          <w:tab w:val="left" w:pos="5366"/>
          <w:tab w:val="left" w:pos="6771"/>
          <w:tab w:val="left" w:pos="7363"/>
        </w:tabs>
        <w:jc w:val="center"/>
      </w:pPr>
      <w:r w:rsidRPr="001456CE">
        <w:t>Klaipėda</w:t>
      </w:r>
    </w:p>
    <w:p w14:paraId="5A83F4BC" w14:textId="77777777" w:rsidR="00CA4D3B" w:rsidRPr="008354D5" w:rsidRDefault="00CA4D3B" w:rsidP="00CA4D3B">
      <w:pPr>
        <w:jc w:val="center"/>
      </w:pPr>
    </w:p>
    <w:p w14:paraId="1350A8F1" w14:textId="77777777" w:rsidR="00CA4D3B" w:rsidRDefault="00CA4D3B" w:rsidP="00CA4D3B">
      <w:pPr>
        <w:jc w:val="center"/>
      </w:pPr>
    </w:p>
    <w:p w14:paraId="186DD475" w14:textId="77777777" w:rsidR="00916DF8" w:rsidRDefault="00916DF8" w:rsidP="00916DF8">
      <w:pPr>
        <w:tabs>
          <w:tab w:val="left" w:pos="912"/>
        </w:tabs>
        <w:ind w:firstLine="709"/>
        <w:jc w:val="both"/>
      </w:pPr>
      <w:r w:rsidRPr="001D3C7E">
        <w:t>Vadovaudamasi</w:t>
      </w:r>
      <w:r>
        <w:t xml:space="preserve"> Lietuvos Respublikos vietos savivaldos įstatymo 18 straipsnio 1 dalimi</w:t>
      </w:r>
      <w:r>
        <w:rPr>
          <w:color w:val="000000"/>
        </w:rPr>
        <w:t>,</w:t>
      </w:r>
      <w:r>
        <w:t xml:space="preserve"> Mokinio krepšelio lėšų apskaičiavimo ir paskirstymo metodikos, patvirtintos Lietuvos Respublikos Vyriausybės 2001 m. birželio 27 d. nutarimu Nr. 785 „Dėl Mokinio krepšelio lėšų apskaičiavimo ir paskirstymo metodikos patvirtinimo“, 9 punktu, </w:t>
      </w:r>
      <w:r w:rsidRPr="001D3C7E">
        <w:t xml:space="preserve">Klaipėdos miesto savivaldybės taryba </w:t>
      </w:r>
      <w:r w:rsidRPr="001D3C7E">
        <w:rPr>
          <w:spacing w:val="60"/>
        </w:rPr>
        <w:t>nusprendži</w:t>
      </w:r>
      <w:r w:rsidRPr="001D3C7E">
        <w:t>a:</w:t>
      </w:r>
    </w:p>
    <w:p w14:paraId="487C5B1A" w14:textId="77777777" w:rsidR="00916DF8" w:rsidRDefault="00916DF8" w:rsidP="00916DF8">
      <w:pPr>
        <w:tabs>
          <w:tab w:val="left" w:pos="912"/>
        </w:tabs>
        <w:ind w:firstLine="709"/>
        <w:jc w:val="both"/>
      </w:pPr>
      <w:r>
        <w:t>Pakeisti Klaipėdos miesto savivaldybei skirtų mokinio krepšelio lėšų paskirstymo ir naudojimo tvarkos aprašą, patvirtintą Klaipėdos miesto savivaldybės tarybos 2016 m. kovo 31 d. sprendimu Nr. T2-89 „Dėl Klaipėdos miesto savivaldybei skirtų mokinio krepšelio lėšų paskirstymo ir naudojimo tvarkos aprašo patvirtinimo“:</w:t>
      </w:r>
    </w:p>
    <w:p w14:paraId="65BFE30A" w14:textId="77777777" w:rsidR="00916DF8" w:rsidRDefault="00916DF8" w:rsidP="00916DF8">
      <w:pPr>
        <w:ind w:firstLine="709"/>
        <w:jc w:val="both"/>
      </w:pPr>
      <w:r>
        <w:t xml:space="preserve">1. pakeisti 2 punktą ir jį išdėstyti taip: </w:t>
      </w:r>
    </w:p>
    <w:p w14:paraId="0D75D45F" w14:textId="77777777" w:rsidR="00916DF8" w:rsidRPr="006F4EC8" w:rsidRDefault="00916DF8" w:rsidP="00916DF8">
      <w:pPr>
        <w:ind w:firstLine="709"/>
        <w:jc w:val="both"/>
      </w:pPr>
      <w:r>
        <w:t xml:space="preserve">„2. </w:t>
      </w:r>
      <w:r w:rsidRPr="00A3242D">
        <w:t xml:space="preserve">Savivaldybei skirtos mokinio krepšelio lėšos – tai atitinkamiems metams Klaipėdos miesto savivaldybei skirtos mokinio krepšelio lėšos. Jas sudaro: 94 procentai skiriami mokykloms mokinių, besimokančių pagal ikimokyklinio, priešmokyklinio, pradinio, pagrindinio ir vidurinio ugdymo programas, mokymo reikmėms tenkinti, 6 procentai – savivaldybei Mokinio krepšelio lėšų apskaičiavimo ir paskirstymo metodikoje aprašytoms mokymo reikmėms tenkinti </w:t>
      </w:r>
      <w:r w:rsidRPr="006F4EC8">
        <w:t>ir formalųjį švietimą papildanč</w:t>
      </w:r>
      <w:r>
        <w:t>io ugdymo programoms finansuoti.“;</w:t>
      </w:r>
    </w:p>
    <w:p w14:paraId="7C60FCE7" w14:textId="77777777" w:rsidR="00916DF8" w:rsidRDefault="00916DF8" w:rsidP="00916DF8">
      <w:pPr>
        <w:widowControl w:val="0"/>
        <w:shd w:val="clear" w:color="auto" w:fill="FFFFFF"/>
        <w:tabs>
          <w:tab w:val="left" w:pos="1276"/>
        </w:tabs>
        <w:autoSpaceDE w:val="0"/>
        <w:autoSpaceDN w:val="0"/>
        <w:adjustRightInd w:val="0"/>
        <w:ind w:firstLine="709"/>
        <w:jc w:val="both"/>
      </w:pPr>
      <w:r>
        <w:t>2. pakeisti 12 punktą ir jį išdėstyti taip:</w:t>
      </w:r>
    </w:p>
    <w:p w14:paraId="2FD31332" w14:textId="77777777" w:rsidR="00916DF8" w:rsidRDefault="00916DF8" w:rsidP="00916DF8">
      <w:pPr>
        <w:widowControl w:val="0"/>
        <w:shd w:val="clear" w:color="auto" w:fill="FFFFFF"/>
        <w:tabs>
          <w:tab w:val="left" w:pos="1276"/>
        </w:tabs>
        <w:autoSpaceDE w:val="0"/>
        <w:autoSpaceDN w:val="0"/>
        <w:adjustRightInd w:val="0"/>
        <w:ind w:firstLine="709"/>
        <w:jc w:val="both"/>
        <w:rPr>
          <w:color w:val="000000"/>
          <w:spacing w:val="1"/>
          <w:lang w:eastAsia="lt-LT"/>
        </w:rPr>
      </w:pPr>
      <w:r>
        <w:t>„12. </w:t>
      </w:r>
      <w:r w:rsidRPr="00C579A7">
        <w:rPr>
          <w:color w:val="000000"/>
          <w:spacing w:val="1"/>
          <w:lang w:eastAsia="lt-LT"/>
        </w:rPr>
        <w:t>Formalųjį švietimą papildančio ugdymo programoms</w:t>
      </w:r>
      <w:r w:rsidRPr="00087CA6">
        <w:rPr>
          <w:color w:val="000000"/>
          <w:spacing w:val="1"/>
          <w:lang w:eastAsia="lt-LT"/>
        </w:rPr>
        <w:t xml:space="preserve"> </w:t>
      </w:r>
      <w:r w:rsidRPr="005F7FAB">
        <w:rPr>
          <w:color w:val="000000"/>
          <w:spacing w:val="1"/>
          <w:lang w:eastAsia="lt-LT"/>
        </w:rPr>
        <w:t>finansuoti</w:t>
      </w:r>
      <w:r>
        <w:rPr>
          <w:color w:val="000000"/>
          <w:spacing w:val="1"/>
          <w:lang w:eastAsia="lt-LT"/>
        </w:rPr>
        <w:t xml:space="preserve"> </w:t>
      </w:r>
      <w:r w:rsidRPr="00A3242D">
        <w:rPr>
          <w:color w:val="000000"/>
          <w:spacing w:val="1"/>
          <w:lang w:eastAsia="lt-LT"/>
        </w:rPr>
        <w:t xml:space="preserve">lėšos apskaičiuojamos vadovaujantis Metodikoje nustatyta lėšų skyrimo suma </w:t>
      </w:r>
      <w:r w:rsidRPr="00A24036">
        <w:rPr>
          <w:color w:val="000000"/>
          <w:spacing w:val="1"/>
          <w:lang w:eastAsia="lt-LT"/>
        </w:rPr>
        <w:t>pagal fiksuotą spalio 1 d. neformaliojo</w:t>
      </w:r>
      <w:r>
        <w:rPr>
          <w:color w:val="000000"/>
          <w:spacing w:val="1"/>
          <w:lang w:eastAsia="lt-LT"/>
        </w:rPr>
        <w:t xml:space="preserve"> vaikų švietimo įstaigų mokinių</w:t>
      </w:r>
      <w:r w:rsidRPr="00A24036">
        <w:rPr>
          <w:color w:val="000000"/>
          <w:spacing w:val="1"/>
          <w:lang w:eastAsia="lt-LT"/>
        </w:rPr>
        <w:t xml:space="preserve"> skaičių. Šios įstaigos</w:t>
      </w:r>
      <w:r>
        <w:rPr>
          <w:color w:val="000000"/>
          <w:spacing w:val="1"/>
          <w:lang w:eastAsia="lt-LT"/>
        </w:rPr>
        <w:t xml:space="preserve"> iki spalio 10 d. pateikia Savivaldybės administracijos Ugdymo ir kultūros departamento Planavimo ir analizės skyriui mokinių sąrašus, kuriuose nurodo vaikų lankomas bendrojo ugdymo mokyklas.“;</w:t>
      </w:r>
    </w:p>
    <w:p w14:paraId="4F942095" w14:textId="77777777" w:rsidR="00916DF8" w:rsidRDefault="00916DF8" w:rsidP="00916DF8">
      <w:pPr>
        <w:widowControl w:val="0"/>
        <w:shd w:val="clear" w:color="auto" w:fill="FFFFFF"/>
        <w:tabs>
          <w:tab w:val="left" w:pos="1276"/>
        </w:tabs>
        <w:autoSpaceDE w:val="0"/>
        <w:autoSpaceDN w:val="0"/>
        <w:adjustRightInd w:val="0"/>
        <w:ind w:firstLine="709"/>
        <w:jc w:val="both"/>
        <w:rPr>
          <w:color w:val="000000"/>
          <w:spacing w:val="1"/>
          <w:lang w:eastAsia="lt-LT"/>
        </w:rPr>
      </w:pPr>
      <w:r>
        <w:t>3. pakeisti 13 punktą ir jį išdėstyti taip:</w:t>
      </w:r>
    </w:p>
    <w:p w14:paraId="00B2CF8C" w14:textId="77777777" w:rsidR="00916DF8" w:rsidRDefault="00916DF8" w:rsidP="00916DF8">
      <w:pPr>
        <w:widowControl w:val="0"/>
        <w:shd w:val="clear" w:color="auto" w:fill="FFFFFF"/>
        <w:tabs>
          <w:tab w:val="left" w:pos="1276"/>
        </w:tabs>
        <w:autoSpaceDE w:val="0"/>
        <w:autoSpaceDN w:val="0"/>
        <w:adjustRightInd w:val="0"/>
        <w:ind w:firstLine="709"/>
        <w:jc w:val="both"/>
        <w:rPr>
          <w:color w:val="000000"/>
          <w:spacing w:val="1"/>
          <w:lang w:eastAsia="lt-LT"/>
        </w:rPr>
      </w:pPr>
      <w:r>
        <w:rPr>
          <w:color w:val="000000"/>
          <w:spacing w:val="1"/>
          <w:lang w:eastAsia="lt-LT"/>
        </w:rPr>
        <w:t xml:space="preserve">„13. </w:t>
      </w:r>
      <w:r w:rsidRPr="0019333C">
        <w:rPr>
          <w:color w:val="000000"/>
          <w:spacing w:val="1"/>
          <w:lang w:eastAsia="lt-LT"/>
        </w:rPr>
        <w:t>Formalųjį švietimą papildančio ugdymo programoms finansuoti lėšos</w:t>
      </w:r>
      <w:r w:rsidRPr="00A24036">
        <w:rPr>
          <w:b/>
          <w:color w:val="000000"/>
          <w:spacing w:val="1"/>
          <w:lang w:eastAsia="lt-LT"/>
        </w:rPr>
        <w:t xml:space="preserve"> </w:t>
      </w:r>
      <w:r w:rsidRPr="00B355EB">
        <w:rPr>
          <w:color w:val="000000"/>
          <w:spacing w:val="1"/>
          <w:lang w:eastAsia="lt-LT"/>
        </w:rPr>
        <w:t xml:space="preserve">planuojamos </w:t>
      </w:r>
      <w:r>
        <w:rPr>
          <w:color w:val="000000"/>
          <w:spacing w:val="1"/>
          <w:lang w:eastAsia="lt-LT"/>
        </w:rPr>
        <w:t>iš mokykloms atitinkamiems metams skirtų mokinio krepšelio lėšų, skaičiuojant vienam mokiniui pagal bendrojo ugdymo programą, Metodikos 2 priedo 1.5 papunktyje nurodytą dydį.“;</w:t>
      </w:r>
    </w:p>
    <w:p w14:paraId="66D0D20C" w14:textId="77777777" w:rsidR="00916DF8" w:rsidRDefault="00916DF8" w:rsidP="00916DF8">
      <w:pPr>
        <w:ind w:firstLine="709"/>
        <w:jc w:val="both"/>
      </w:pPr>
      <w:r>
        <w:rPr>
          <w:color w:val="000000"/>
          <w:spacing w:val="1"/>
          <w:lang w:eastAsia="lt-LT"/>
        </w:rPr>
        <w:t>4. p</w:t>
      </w:r>
      <w:r>
        <w:t>akeisti 17.1 papunktį ir jį išdėstyti taip:</w:t>
      </w:r>
    </w:p>
    <w:p w14:paraId="74170C4B" w14:textId="77777777" w:rsidR="00916DF8" w:rsidRDefault="00916DF8" w:rsidP="00916DF8">
      <w:pPr>
        <w:ind w:firstLine="709"/>
        <w:jc w:val="both"/>
      </w:pPr>
      <w:r>
        <w:t>„17.1. </w:t>
      </w:r>
      <w:r w:rsidRPr="00A3242D">
        <w:t>darbo užmokesčiui pagal ugdymo planą apmokėti</w:t>
      </w:r>
      <w:r>
        <w:t>,</w:t>
      </w:r>
      <w:r w:rsidRPr="00A3242D">
        <w:t xml:space="preserve"> už ikimokyklinio ir priešmokyklinio ugdymo valandas, finansuojamas iš mokinio krepšelio lėšų</w:t>
      </w:r>
      <w:r w:rsidRPr="00B659A5">
        <w:t>, ir su juo susijusioms išmokoms mokėti,</w:t>
      </w:r>
      <w:r w:rsidRPr="00A3242D">
        <w:t xml:space="preserve"> mokyklos ugdymo procesui organizuoti ir valdyti</w:t>
      </w:r>
      <w:r>
        <w:t xml:space="preserve"> </w:t>
      </w:r>
      <w:r w:rsidRPr="00F06710">
        <w:rPr>
          <w:lang w:eastAsia="lt-LT"/>
        </w:rPr>
        <w:t>(ne daugiau kaip 10 procentų lėšų, skirtų ugdymo planui įgyvendinti)</w:t>
      </w:r>
      <w:r w:rsidRPr="00A3242D">
        <w:t>, mokyklos bibliotekos darbuotojams išlaikyti, psichologinei, specialiajai pedagoginei, specialiajai ir socialinei pedagoginei pagalbai organizuoti,</w:t>
      </w:r>
      <w:r w:rsidRPr="00A3242D">
        <w:rPr>
          <w:b/>
        </w:rPr>
        <w:t xml:space="preserve"> </w:t>
      </w:r>
      <w:r w:rsidRPr="00A3242D">
        <w:t xml:space="preserve">priemokoms už laikiną nesančių darbuotojų funkcijų (pareigų) arba papildomų darbų </w:t>
      </w:r>
      <w:r w:rsidRPr="0049792F">
        <w:t>vykdymą</w:t>
      </w:r>
      <w:r w:rsidRPr="00A3242D">
        <w:t xml:space="preserve"> (jeigu dėl papildomo darbo nesulygstama darbo sutartyje). Iš mokinio krepšelio lėšų gali būti mokama už darbą pedagoginiams darbuotojams, nurodytiems Pareigybių, kurias atliekant darbas </w:t>
      </w:r>
      <w:r w:rsidRPr="00A3242D">
        <w:lastRenderedPageBreak/>
        <w:t xml:space="preserve">yra laikomas pedagoginiu, sąraše, patvirtintame Lietuvos Respublikos švietimo ir mokslo ministro įsakymu, taip pat gali būti mokama gestų kalbos vertėjams, mokytojų padėjėjams ir darbuotojams, kurių funkcijoms priskiriamas mokyklų veiklos kokybės įsivertinimas; ne mažiau kaip </w:t>
      </w:r>
      <w:r w:rsidRPr="00F06710">
        <w:t xml:space="preserve">4 </w:t>
      </w:r>
      <w:r w:rsidRPr="00A3242D">
        <w:t xml:space="preserve">procentai šių lėšų skiriami psichologinei, specialiajai pedagoginei, specialiajai ir socialinei pedagoginei pagalbai organizuoti, išskyrus užmokestį už darbą, kai mokinių tėvų (globėjų, rūpintojų) pageidavimu teikiamos papildomos paslaugos (pailgintos dienos grupės, </w:t>
      </w:r>
      <w:proofErr w:type="spellStart"/>
      <w:r w:rsidRPr="00A3242D">
        <w:t>popamokinė</w:t>
      </w:r>
      <w:proofErr w:type="spellEnd"/>
      <w:r w:rsidRPr="00A3242D">
        <w:t xml:space="preserve"> mokinių priežiūra, klubai, būreliai, stovyklos, ekskursijos ir kita)</w:t>
      </w:r>
      <w:r>
        <w:t>;“</w:t>
      </w:r>
      <w:r w:rsidRPr="00A3242D">
        <w:t>;</w:t>
      </w:r>
    </w:p>
    <w:p w14:paraId="333FA12B" w14:textId="77777777" w:rsidR="00916DF8" w:rsidRDefault="00916DF8" w:rsidP="00916DF8">
      <w:pPr>
        <w:ind w:firstLine="709"/>
        <w:jc w:val="both"/>
        <w:rPr>
          <w:color w:val="000000"/>
          <w:spacing w:val="1"/>
          <w:lang w:eastAsia="lt-LT"/>
        </w:rPr>
      </w:pPr>
      <w:r>
        <w:t>5. pakeisti 19.3 papunktį ir jį išdėstyti taip:</w:t>
      </w:r>
    </w:p>
    <w:p w14:paraId="2B16B548" w14:textId="77777777" w:rsidR="00916DF8" w:rsidRPr="00A3242D" w:rsidRDefault="00916DF8" w:rsidP="00916DF8">
      <w:pPr>
        <w:ind w:firstLine="709"/>
        <w:jc w:val="both"/>
      </w:pPr>
      <w:r>
        <w:rPr>
          <w:color w:val="000000"/>
          <w:spacing w:val="1"/>
          <w:lang w:eastAsia="lt-LT"/>
        </w:rPr>
        <w:t xml:space="preserve">„19.3. </w:t>
      </w:r>
      <w:r w:rsidRPr="00431C59">
        <w:t>formalųjį švietimą papildančio ugdymo programų</w:t>
      </w:r>
      <w:r w:rsidRPr="00EC7F57">
        <w:t xml:space="preserve"> </w:t>
      </w:r>
      <w:r w:rsidRPr="00A3242D">
        <w:t>vaikų neformalioj</w:t>
      </w:r>
      <w:r>
        <w:t>o švietimo mokyklose finansuoti;“;</w:t>
      </w:r>
    </w:p>
    <w:p w14:paraId="213549A6" w14:textId="77777777" w:rsidR="00916DF8" w:rsidRDefault="00916DF8" w:rsidP="00916DF8">
      <w:pPr>
        <w:ind w:firstLine="709"/>
        <w:jc w:val="both"/>
      </w:pPr>
      <w:r>
        <w:rPr>
          <w:color w:val="000000"/>
          <w:spacing w:val="1"/>
          <w:lang w:eastAsia="lt-LT"/>
        </w:rPr>
        <w:t>6. p</w:t>
      </w:r>
      <w:r>
        <w:t>akeisti 25 punktą ir jį išdėstyti taip:</w:t>
      </w:r>
    </w:p>
    <w:p w14:paraId="14572B84" w14:textId="77777777" w:rsidR="00916DF8" w:rsidRPr="00A3242D" w:rsidRDefault="00916DF8" w:rsidP="00916DF8">
      <w:pPr>
        <w:ind w:firstLine="709"/>
        <w:jc w:val="both"/>
      </w:pPr>
      <w:r>
        <w:t xml:space="preserve">„25. </w:t>
      </w:r>
      <w:r w:rsidRPr="00A3242D">
        <w:t xml:space="preserve">Profesinės linkmės moduliams neformaliojo švietimo įstaigose lėšos skiriamos pagal poreikį, o </w:t>
      </w:r>
      <w:r w:rsidRPr="00447750">
        <w:t>formalųjį švietimą papildančio ugdymo programoms</w:t>
      </w:r>
      <w:r>
        <w:t xml:space="preserve"> </w:t>
      </w:r>
      <w:r w:rsidRPr="00A3242D">
        <w:t>skiriama ne mažiau kaip 100 procentų apskaičiuotų lėšų pagal mokymo reikmių koeficientus ir mokinio krepšelio lėšų sumas, nurodytas Metodikoje.</w:t>
      </w:r>
      <w:r>
        <w:t>“;</w:t>
      </w:r>
    </w:p>
    <w:p w14:paraId="6F2D21FE" w14:textId="77777777" w:rsidR="00916DF8" w:rsidRDefault="00916DF8" w:rsidP="00916DF8">
      <w:pPr>
        <w:tabs>
          <w:tab w:val="num" w:pos="1080"/>
        </w:tabs>
        <w:ind w:firstLine="709"/>
        <w:jc w:val="both"/>
      </w:pPr>
      <w:r>
        <w:rPr>
          <w:color w:val="000000"/>
          <w:spacing w:val="1"/>
          <w:lang w:eastAsia="lt-LT"/>
        </w:rPr>
        <w:t>7. p</w:t>
      </w:r>
      <w:r>
        <w:t>akeisti 26 punktą ir jį išdėstyti taip:</w:t>
      </w:r>
    </w:p>
    <w:p w14:paraId="317E1292" w14:textId="77777777" w:rsidR="00916DF8" w:rsidRDefault="00916DF8" w:rsidP="00916DF8">
      <w:pPr>
        <w:tabs>
          <w:tab w:val="num" w:pos="1080"/>
        </w:tabs>
        <w:ind w:firstLine="709"/>
        <w:jc w:val="both"/>
      </w:pPr>
      <w:r>
        <w:t xml:space="preserve">„26. </w:t>
      </w:r>
      <w:r w:rsidRPr="00A3242D">
        <w:t xml:space="preserve">Neformaliojo vaikų švietimo įstaigos, vykdančios </w:t>
      </w:r>
      <w:r w:rsidRPr="00D52383">
        <w:t>formalųjį švietimą papildančias ugdymo programas,</w:t>
      </w:r>
      <w:r w:rsidRPr="00A3242D">
        <w:t xml:space="preserve"> lėšas naudoja neformaliojo vaikų švietimo, mokinių užimtumo socializacijos bei prevencijos veiklos programoms įgyvendinti Metodik</w:t>
      </w:r>
      <w:r>
        <w:t>oje numatytoms ugdymo reikmėms.“;</w:t>
      </w:r>
    </w:p>
    <w:p w14:paraId="4C9B4A46" w14:textId="77777777" w:rsidR="00916DF8" w:rsidRDefault="00916DF8" w:rsidP="00916DF8">
      <w:pPr>
        <w:ind w:firstLine="709"/>
        <w:jc w:val="both"/>
      </w:pPr>
      <w:r>
        <w:rPr>
          <w:color w:val="000000"/>
          <w:spacing w:val="1"/>
          <w:lang w:eastAsia="lt-LT"/>
        </w:rPr>
        <w:t>8. p</w:t>
      </w:r>
      <w:r>
        <w:t>akeisti 29 punktą ir jį išdėstyti taip:</w:t>
      </w:r>
    </w:p>
    <w:p w14:paraId="7C7D3418" w14:textId="77777777" w:rsidR="00916DF8" w:rsidRDefault="00916DF8" w:rsidP="00916DF8">
      <w:pPr>
        <w:ind w:firstLine="709"/>
        <w:jc w:val="both"/>
      </w:pPr>
      <w:r>
        <w:rPr>
          <w:color w:val="000000"/>
          <w:spacing w:val="1"/>
          <w:lang w:eastAsia="lt-LT"/>
        </w:rPr>
        <w:t xml:space="preserve">„29. </w:t>
      </w:r>
      <w:r w:rsidRPr="00A3242D">
        <w:t xml:space="preserve">Lėšos </w:t>
      </w:r>
      <w:r w:rsidRPr="003B5F8A">
        <w:t>formalųjį švietimą papildanči</w:t>
      </w:r>
      <w:r>
        <w:t>oms ugdymo programom</w:t>
      </w:r>
      <w:r w:rsidRPr="003B5F8A">
        <w:t>s</w:t>
      </w:r>
      <w:r w:rsidRPr="00A3242D">
        <w:t xml:space="preserve"> vaikų neformaliojo švietimo mokyklose paskirstomos ir naudojamos vadovaujantis Klaipėdos miesto savivaldybės tarybos sprendimu patvirtintu Neformaliojo vaikų švietimo lėšų skyrimo ir naudojimo tvarkos aprašu</w:t>
      </w:r>
      <w:r>
        <w:t>.“</w:t>
      </w:r>
    </w:p>
    <w:p w14:paraId="6A4486A9" w14:textId="77777777" w:rsidR="00916DF8" w:rsidRPr="00A3242D" w:rsidRDefault="00916DF8" w:rsidP="00916DF8">
      <w:pPr>
        <w:ind w:firstLine="709"/>
        <w:jc w:val="both"/>
      </w:pPr>
      <w:r>
        <w:t>Šis sprendimas gali būti skundžiamas Lietuvos Respublikos administracinių bylų teisės nustatyta tvarka.</w:t>
      </w:r>
    </w:p>
    <w:p w14:paraId="61EEEAAB" w14:textId="77777777" w:rsidR="00916DF8" w:rsidRPr="00A77A3C" w:rsidRDefault="00916DF8" w:rsidP="00916DF8">
      <w:pPr>
        <w:tabs>
          <w:tab w:val="num" w:pos="1080"/>
        </w:tabs>
        <w:ind w:firstLine="709"/>
        <w:jc w:val="both"/>
        <w:rPr>
          <w:color w:val="000000"/>
          <w:spacing w:val="1"/>
          <w:lang w:eastAsia="lt-LT"/>
        </w:rPr>
      </w:pPr>
    </w:p>
    <w:p w14:paraId="25AD83D4" w14:textId="77777777" w:rsidR="00E936C5" w:rsidRDefault="00E936C5" w:rsidP="00E936C5">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E936C5" w14:paraId="2977BCB2" w14:textId="77777777" w:rsidTr="007C1CED">
        <w:tc>
          <w:tcPr>
            <w:tcW w:w="6204" w:type="dxa"/>
          </w:tcPr>
          <w:p w14:paraId="0CA73077" w14:textId="77777777" w:rsidR="00E936C5" w:rsidRDefault="00E936C5" w:rsidP="00E936C5">
            <w:r>
              <w:t>Savivaldybės mero pavaduotoja</w:t>
            </w:r>
          </w:p>
        </w:tc>
        <w:tc>
          <w:tcPr>
            <w:tcW w:w="3650" w:type="dxa"/>
          </w:tcPr>
          <w:p w14:paraId="04FAED8C" w14:textId="77777777" w:rsidR="00E936C5" w:rsidRDefault="00E936C5" w:rsidP="007C1CED">
            <w:pPr>
              <w:jc w:val="right"/>
            </w:pPr>
            <w:r>
              <w:t>Judita Simonavičiūtė</w:t>
            </w:r>
          </w:p>
        </w:tc>
      </w:tr>
    </w:tbl>
    <w:p w14:paraId="718ED247"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F5DCD" w14:textId="77777777" w:rsidR="00BF6050" w:rsidRDefault="00BF6050" w:rsidP="00E014C1">
      <w:r>
        <w:separator/>
      </w:r>
    </w:p>
  </w:endnote>
  <w:endnote w:type="continuationSeparator" w:id="0">
    <w:p w14:paraId="2D9D9F6F" w14:textId="77777777" w:rsidR="00BF6050" w:rsidRDefault="00BF6050"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F8642" w14:textId="77777777" w:rsidR="00BF6050" w:rsidRDefault="00BF6050" w:rsidP="00E014C1">
      <w:r>
        <w:separator/>
      </w:r>
    </w:p>
  </w:footnote>
  <w:footnote w:type="continuationSeparator" w:id="0">
    <w:p w14:paraId="0B332BFC" w14:textId="77777777" w:rsidR="00BF6050" w:rsidRDefault="00BF6050"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4F2B0FF7" w14:textId="77777777" w:rsidR="00E014C1" w:rsidRDefault="00E014C1">
        <w:pPr>
          <w:pStyle w:val="Antrats"/>
          <w:jc w:val="center"/>
        </w:pPr>
        <w:r>
          <w:fldChar w:fldCharType="begin"/>
        </w:r>
        <w:r>
          <w:instrText>PAGE   \* MERGEFORMAT</w:instrText>
        </w:r>
        <w:r>
          <w:fldChar w:fldCharType="separate"/>
        </w:r>
        <w:r w:rsidR="00E11190">
          <w:rPr>
            <w:noProof/>
          </w:rPr>
          <w:t>2</w:t>
        </w:r>
        <w:r>
          <w:fldChar w:fldCharType="end"/>
        </w:r>
      </w:p>
    </w:sdtContent>
  </w:sdt>
  <w:p w14:paraId="42105701"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303ED0"/>
    <w:rsid w:val="003222B4"/>
    <w:rsid w:val="003668FA"/>
    <w:rsid w:val="004476DD"/>
    <w:rsid w:val="00521D61"/>
    <w:rsid w:val="00597EE8"/>
    <w:rsid w:val="005F495C"/>
    <w:rsid w:val="008354D5"/>
    <w:rsid w:val="00894D6F"/>
    <w:rsid w:val="00916DF8"/>
    <w:rsid w:val="00922CD4"/>
    <w:rsid w:val="00A12691"/>
    <w:rsid w:val="00AF7D08"/>
    <w:rsid w:val="00BF6050"/>
    <w:rsid w:val="00C56F56"/>
    <w:rsid w:val="00CA4D3B"/>
    <w:rsid w:val="00DD0F0E"/>
    <w:rsid w:val="00E014C1"/>
    <w:rsid w:val="00E11190"/>
    <w:rsid w:val="00E33871"/>
    <w:rsid w:val="00E936C5"/>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74A2"/>
  <w15:docId w15:val="{A862C0C4-1AA8-437D-936F-6C0975D77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3212</Words>
  <Characters>1831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2017-04-10T06:56:00Z</cp:lastPrinted>
  <dcterms:created xsi:type="dcterms:W3CDTF">2017-04-10T06:56:00Z</dcterms:created>
  <dcterms:modified xsi:type="dcterms:W3CDTF">2017-04-10T06:56:00Z</dcterms:modified>
</cp:coreProperties>
</file>