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7243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36E7032" wp14:editId="7ED30F7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4367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1E9078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3D1CF2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3041B1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F8FA2EF" w14:textId="77777777" w:rsidR="002535C7" w:rsidRPr="009D7DF3" w:rsidRDefault="002535C7" w:rsidP="002535C7">
      <w:pPr>
        <w:jc w:val="center"/>
      </w:pPr>
      <w:r>
        <w:rPr>
          <w:b/>
          <w:caps/>
        </w:rPr>
        <w:t>DĖL</w:t>
      </w:r>
      <w:r w:rsidRPr="009D7DF3">
        <w:rPr>
          <w:b/>
          <w:caps/>
        </w:rPr>
        <w:t xml:space="preserve"> klaipėdos miesto savivaldybės tarybos 2016 m. gegužės 26 d. sprendimo nr. t2-142 „DĖL KLAIPĖDOS MIESTO SAVIVALDYBĖS NEFORMALIOJO VAIKŲ ŠVIETIMO LĖŠŲ SKYRIMO IR NAUDOJIMO TVARKOS APRAŠO PATVIRTINIMO“ pakeitimo</w:t>
      </w:r>
    </w:p>
    <w:p w14:paraId="546A8E68" w14:textId="77777777" w:rsidR="00CA4D3B" w:rsidRDefault="00CA4D3B" w:rsidP="00CA4D3B">
      <w:pPr>
        <w:jc w:val="center"/>
      </w:pPr>
    </w:p>
    <w:bookmarkStart w:id="1" w:name="registravimoDataIlga"/>
    <w:p w14:paraId="16E605A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T2-74</w:t>
      </w:r>
      <w:r>
        <w:rPr>
          <w:noProof/>
        </w:rPr>
        <w:fldChar w:fldCharType="end"/>
      </w:r>
      <w:bookmarkEnd w:id="2"/>
    </w:p>
    <w:p w14:paraId="1172767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F3659B6" w14:textId="77777777" w:rsidR="00CA4D3B" w:rsidRPr="008354D5" w:rsidRDefault="00CA4D3B" w:rsidP="00CA4D3B">
      <w:pPr>
        <w:jc w:val="center"/>
      </w:pPr>
    </w:p>
    <w:p w14:paraId="131C8FB5" w14:textId="77777777" w:rsidR="00CA4D3B" w:rsidRDefault="00CA4D3B" w:rsidP="00CA4D3B">
      <w:pPr>
        <w:jc w:val="center"/>
      </w:pPr>
    </w:p>
    <w:p w14:paraId="49C1DE82" w14:textId="77777777" w:rsidR="002535C7" w:rsidRPr="009D7DF3" w:rsidRDefault="002535C7" w:rsidP="002535C7">
      <w:pPr>
        <w:tabs>
          <w:tab w:val="left" w:pos="912"/>
        </w:tabs>
        <w:ind w:firstLine="709"/>
        <w:jc w:val="both"/>
      </w:pPr>
      <w:r w:rsidRPr="009D7DF3">
        <w:t xml:space="preserve">Vadovaudamasi Lietuvos Respublikos vietos savivaldos įstatymo 18 straipsnio 1 dalimi, Klaipėdos miesto savivaldybės taryba </w:t>
      </w:r>
      <w:r w:rsidRPr="009D7DF3">
        <w:rPr>
          <w:spacing w:val="60"/>
        </w:rPr>
        <w:t>nusprendži</w:t>
      </w:r>
      <w:r w:rsidRPr="009D7DF3">
        <w:t>a:</w:t>
      </w:r>
    </w:p>
    <w:p w14:paraId="2D81ED35" w14:textId="77777777" w:rsidR="002535C7" w:rsidRPr="009D7DF3" w:rsidRDefault="0062391D" w:rsidP="0062391D">
      <w:pPr>
        <w:tabs>
          <w:tab w:val="left" w:pos="993"/>
        </w:tabs>
        <w:ind w:firstLine="709"/>
        <w:jc w:val="both"/>
      </w:pPr>
      <w:r>
        <w:t>1. </w:t>
      </w:r>
      <w:r w:rsidR="002535C7" w:rsidRPr="009D7DF3">
        <w:t>Pakeisti Klaipėdos miesto savivaldybės neformaliojo vaikų švietimo lėšų skyrimo ir naudojimo tvarkos aprašą, patvirtintą Klaipėdos miesto savivaldybės tarybos 2016 m. gegužės 26 d. sprendimu Nr. T2-142 „Dėl Klaipėdos miesto savivaldybės neformaliojo vaikų švietimo lėšų skyrimo ir naudojimo tvarkos aprašo patvirtinimo“:</w:t>
      </w:r>
    </w:p>
    <w:p w14:paraId="6C75C4C5" w14:textId="77777777" w:rsidR="002535C7" w:rsidRPr="009D7DF3" w:rsidRDefault="002535C7" w:rsidP="002535C7">
      <w:pPr>
        <w:ind w:firstLine="709"/>
        <w:jc w:val="both"/>
      </w:pPr>
      <w:r w:rsidRPr="009D7DF3">
        <w:t>1.1. pakeisti 5 punktą ir jį išdėstyti taip:</w:t>
      </w:r>
    </w:p>
    <w:p w14:paraId="7D0AB472" w14:textId="77777777" w:rsidR="002535C7" w:rsidRPr="009D7DF3" w:rsidRDefault="002535C7" w:rsidP="002535C7">
      <w:pPr>
        <w:ind w:firstLine="709"/>
        <w:jc w:val="both"/>
      </w:pPr>
      <w:r w:rsidRPr="009D7DF3">
        <w:t>„5. NVŠ lėšomis gali būti finansuojama tik viena vaiko</w:t>
      </w:r>
      <w:r w:rsidRPr="009D7DF3">
        <w:rPr>
          <w:lang w:eastAsia="lt-LT"/>
        </w:rPr>
        <w:t xml:space="preserve"> </w:t>
      </w:r>
      <w:r w:rsidRPr="009D7DF3">
        <w:t>pasirinkta NVŠ programa, kuriai NVŠ lėšas skiria ta savivaldybė, kurioje vaikas mokosi pagal NVŠ programą,</w:t>
      </w:r>
      <w:r w:rsidRPr="009D7DF3">
        <w:rPr>
          <w:b/>
        </w:rPr>
        <w:t xml:space="preserve"> </w:t>
      </w:r>
      <w:r w:rsidRPr="009D7DF3">
        <w:t>nepriklausomai, kurioje savivaldybėje vaikas gyvena ir mokosi pagal bendrojo ugdymo programą.“;</w:t>
      </w:r>
    </w:p>
    <w:p w14:paraId="1EB9756C" w14:textId="77777777" w:rsidR="002535C7" w:rsidRPr="009D7DF3" w:rsidRDefault="002535C7" w:rsidP="002535C7">
      <w:pPr>
        <w:ind w:firstLine="709"/>
        <w:jc w:val="both"/>
      </w:pPr>
      <w:r w:rsidRPr="009D7DF3">
        <w:t>1.2. pakeisti 7 punktą ir jį išdėstyti taip:</w:t>
      </w:r>
    </w:p>
    <w:p w14:paraId="4BDA7B63" w14:textId="77777777" w:rsidR="002535C7" w:rsidRPr="009D7DF3" w:rsidRDefault="002535C7" w:rsidP="002535C7">
      <w:pPr>
        <w:ind w:firstLine="709"/>
        <w:jc w:val="both"/>
        <w:rPr>
          <w:lang w:eastAsia="lt-LT"/>
        </w:rPr>
      </w:pPr>
      <w:r w:rsidRPr="009D7DF3">
        <w:t>„7. Atsižvelgus į Lietuvos Respublikos švietimo ir mokslo ministro įsakymu paskirtą NVŠ programoms tikslinę lėšų sumą, Savivaldybė NVŠ teikėjų vykdomoms programoms lėšas paskirsto 2 kartus per kalendorinius metus.“;</w:t>
      </w:r>
    </w:p>
    <w:p w14:paraId="17BC65ED" w14:textId="77777777" w:rsidR="002535C7" w:rsidRPr="009D7DF3" w:rsidRDefault="002535C7" w:rsidP="002535C7">
      <w:pPr>
        <w:ind w:firstLine="709"/>
        <w:jc w:val="both"/>
        <w:rPr>
          <w:b/>
          <w:lang w:eastAsia="lt-LT"/>
        </w:rPr>
      </w:pPr>
      <w:r w:rsidRPr="009D7DF3">
        <w:rPr>
          <w:lang w:eastAsia="lt-LT"/>
        </w:rPr>
        <w:t xml:space="preserve">1.3. </w:t>
      </w:r>
      <w:r w:rsidRPr="009D7DF3">
        <w:t>pakeisti 10 punktą ir jį išdėstyti taip:</w:t>
      </w:r>
    </w:p>
    <w:p w14:paraId="319EEA39" w14:textId="77777777" w:rsidR="002535C7" w:rsidRPr="009D7DF3" w:rsidRDefault="002535C7" w:rsidP="002535C7">
      <w:pPr>
        <w:ind w:firstLine="709"/>
        <w:jc w:val="both"/>
        <w:rPr>
          <w:color w:val="000000"/>
          <w:lang w:eastAsia="lt-LT"/>
        </w:rPr>
      </w:pPr>
      <w:r w:rsidRPr="009D7DF3">
        <w:t>„10. Paskyrus NVŠ lėšas, NVŠ teikėjas sumažina vaikui nustatytą mokestį už vykdo</w:t>
      </w:r>
      <w:r>
        <w:t>mą NVŠ programą ne mažiau kaip 8</w:t>
      </w:r>
      <w:r w:rsidRPr="009D7DF3">
        <w:t>0 proc. skiriamos sumos vienam vaikui. NVŠ teikėjai, kuriems pagal Savivaldybės administracijos direktoriaus įsakymą paskirtos lėšos NVŠ programoms įgyvendinti, sudaro su Savivaldybės administracijos direktoriumi NVŠ lėšų skyrimo ir panaudojimo sutartį (toliau – Sutartis), kurios formą tvirtina Savivaldybės administracijos direktorius.“;</w:t>
      </w:r>
    </w:p>
    <w:p w14:paraId="388C5E3B" w14:textId="77777777" w:rsidR="002535C7" w:rsidRPr="009D7DF3" w:rsidRDefault="002535C7" w:rsidP="002535C7">
      <w:pPr>
        <w:ind w:firstLine="709"/>
        <w:jc w:val="both"/>
        <w:rPr>
          <w:b/>
          <w:lang w:eastAsia="lt-LT"/>
        </w:rPr>
      </w:pPr>
      <w:r w:rsidRPr="009D7DF3">
        <w:rPr>
          <w:lang w:eastAsia="lt-LT"/>
        </w:rPr>
        <w:t xml:space="preserve">1.4. </w:t>
      </w:r>
      <w:r w:rsidRPr="009D7DF3">
        <w:t>pakeisti 12.1 papunktį ir jį išdėstyti taip:</w:t>
      </w:r>
    </w:p>
    <w:p w14:paraId="7C07C8E2" w14:textId="77777777" w:rsidR="002535C7" w:rsidRPr="009D7DF3" w:rsidRDefault="002535C7" w:rsidP="002535C7">
      <w:pPr>
        <w:ind w:firstLine="709"/>
        <w:jc w:val="both"/>
      </w:pPr>
      <w:r w:rsidRPr="009D7DF3">
        <w:rPr>
          <w:lang w:eastAsia="lt-LT"/>
        </w:rPr>
        <w:t xml:space="preserve">„12.1. didesnis ir </w:t>
      </w:r>
      <w:r w:rsidRPr="009D7DF3">
        <w:t xml:space="preserve">vienam mokiniui tenka mažiau kaip 15 Eur/mėn. </w:t>
      </w:r>
      <w:r w:rsidRPr="009D7DF3">
        <w:rPr>
          <w:lang w:eastAsia="lt-LT"/>
        </w:rPr>
        <w:t xml:space="preserve">iš Savivaldybei skirtų lėšų NVŠ programoms finansuoti, </w:t>
      </w:r>
      <w:r w:rsidRPr="009D7DF3">
        <w:t>tai vienam mokiniui tenkanti NVŠ lėšų suma mažinama, bet ne mažiau kaip iki 10 Eur/mėn., ir proporcingai paskirstoma visiems švietimo teikėjams. Jei vienam vaikui tenka mažiau nei 10 Eur/mėn., lėšos pirmumo tvarka skiriamos tiems vaikams, kurie nelanko jokios savivaldybės lėšomis finansuojamos NVŠ programos;“;</w:t>
      </w:r>
    </w:p>
    <w:p w14:paraId="51B282EE" w14:textId="77777777" w:rsidR="002535C7" w:rsidRPr="009D7DF3" w:rsidRDefault="002535C7" w:rsidP="002535C7">
      <w:pPr>
        <w:ind w:firstLine="709"/>
        <w:jc w:val="both"/>
        <w:rPr>
          <w:b/>
          <w:lang w:eastAsia="lt-LT"/>
        </w:rPr>
      </w:pPr>
      <w:r w:rsidRPr="009D7DF3">
        <w:rPr>
          <w:lang w:eastAsia="lt-LT"/>
        </w:rPr>
        <w:t xml:space="preserve">1.5. </w:t>
      </w:r>
      <w:r w:rsidRPr="009D7DF3">
        <w:t>pakeisti 14.2 papunktį ir jį išdėstyti taip:</w:t>
      </w:r>
    </w:p>
    <w:p w14:paraId="4855D5FA" w14:textId="77777777" w:rsidR="002535C7" w:rsidRPr="009D7DF3" w:rsidRDefault="002535C7" w:rsidP="002535C7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 w:rsidRPr="009D7DF3">
        <w:rPr>
          <w:rFonts w:ascii="Times New Roman" w:hAnsi="Times New Roman"/>
          <w:sz w:val="24"/>
          <w:szCs w:val="24"/>
          <w:lang w:val="lt-LT"/>
        </w:rPr>
        <w:t>„14.2. ugdymo priemonės ir kitos išlaidos, tiesiogiai susijusios su NVŠ programos vykdymu (pvz.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9D7DF3">
        <w:rPr>
          <w:rFonts w:ascii="Times New Roman" w:hAnsi="Times New Roman"/>
          <w:sz w:val="24"/>
          <w:szCs w:val="24"/>
          <w:lang w:val="lt-LT"/>
        </w:rPr>
        <w:t xml:space="preserve"> ugdymui būtinų patalpų nuoma, išlaidos NVŠ kokybei užtikrinti ir kt.).“;</w:t>
      </w:r>
    </w:p>
    <w:p w14:paraId="1FFEB8C8" w14:textId="77777777" w:rsidR="002535C7" w:rsidRPr="009D7DF3" w:rsidRDefault="002535C7" w:rsidP="002535C7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 w:rsidRPr="009D7DF3">
        <w:rPr>
          <w:rFonts w:ascii="Times New Roman" w:hAnsi="Times New Roman"/>
          <w:sz w:val="24"/>
          <w:szCs w:val="24"/>
          <w:lang w:val="lt-LT"/>
        </w:rPr>
        <w:t>1.6. pakeisti 15.1 papunktį ir jį išdėstyti taip:</w:t>
      </w:r>
    </w:p>
    <w:p w14:paraId="0A0385C9" w14:textId="77777777" w:rsidR="002535C7" w:rsidRPr="009D7DF3" w:rsidRDefault="002535C7" w:rsidP="002535C7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 w:rsidRPr="009D7DF3">
        <w:rPr>
          <w:rFonts w:ascii="Times New Roman" w:hAnsi="Times New Roman"/>
          <w:sz w:val="24"/>
          <w:szCs w:val="24"/>
          <w:lang w:val="lt-LT"/>
        </w:rPr>
        <w:t>„15.1. pramoginių renginių, vaikų poilsio ir su jomis susijusioms išlaidoms apmokėti;“;</w:t>
      </w:r>
    </w:p>
    <w:p w14:paraId="44301B2E" w14:textId="77777777" w:rsidR="002535C7" w:rsidRPr="009D7DF3" w:rsidRDefault="002535C7" w:rsidP="002535C7">
      <w:pPr>
        <w:ind w:firstLine="709"/>
        <w:jc w:val="both"/>
        <w:rPr>
          <w:b/>
          <w:lang w:eastAsia="lt-LT"/>
        </w:rPr>
      </w:pPr>
      <w:r w:rsidRPr="009D7DF3">
        <w:rPr>
          <w:lang w:eastAsia="lt-LT"/>
        </w:rPr>
        <w:t xml:space="preserve">1.7. </w:t>
      </w:r>
      <w:r w:rsidRPr="009D7DF3">
        <w:t>pakeisti 15.2 papunktį ir jį išdėstyti taip:</w:t>
      </w:r>
    </w:p>
    <w:p w14:paraId="048F7F2B" w14:textId="77777777" w:rsidR="002535C7" w:rsidRPr="009D7DF3" w:rsidRDefault="002535C7" w:rsidP="002535C7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 w:rsidRPr="009D7DF3">
        <w:rPr>
          <w:rFonts w:ascii="Times New Roman" w:hAnsi="Times New Roman"/>
          <w:sz w:val="24"/>
          <w:szCs w:val="24"/>
          <w:lang w:val="lt-LT"/>
        </w:rPr>
        <w:t xml:space="preserve">„15.2. NVŠ programoms, </w:t>
      </w:r>
      <w:r>
        <w:rPr>
          <w:rFonts w:ascii="Times New Roman" w:hAnsi="Times New Roman"/>
          <w:sz w:val="24"/>
          <w:szCs w:val="24"/>
          <w:lang w:val="lt-LT"/>
        </w:rPr>
        <w:t>kai NVŠ teikėja</w:t>
      </w:r>
      <w:r w:rsidRPr="009D7DF3">
        <w:rPr>
          <w:rFonts w:ascii="Times New Roman" w:hAnsi="Times New Roman"/>
          <w:sz w:val="24"/>
          <w:szCs w:val="24"/>
          <w:lang w:val="lt-LT"/>
        </w:rPr>
        <w:t xml:space="preserve"> yra mokykla, teikianti bendrąjį ugdymą, finansuoti;“;</w:t>
      </w:r>
    </w:p>
    <w:p w14:paraId="100E44BA" w14:textId="77777777" w:rsidR="002535C7" w:rsidRPr="009D7DF3" w:rsidRDefault="002535C7" w:rsidP="002535C7">
      <w:pPr>
        <w:ind w:firstLine="709"/>
        <w:jc w:val="both"/>
        <w:rPr>
          <w:b/>
          <w:lang w:eastAsia="lt-LT"/>
        </w:rPr>
      </w:pPr>
      <w:r w:rsidRPr="009D7DF3">
        <w:rPr>
          <w:lang w:eastAsia="lt-LT"/>
        </w:rPr>
        <w:t xml:space="preserve">1.8. </w:t>
      </w:r>
      <w:r w:rsidRPr="009D7DF3">
        <w:t>pripažinti netekusiu galios 15.3 papunktį;</w:t>
      </w:r>
    </w:p>
    <w:p w14:paraId="0E6F5E94" w14:textId="77777777" w:rsidR="002535C7" w:rsidRPr="009D7DF3" w:rsidRDefault="002535C7" w:rsidP="002535C7">
      <w:pPr>
        <w:ind w:firstLine="709"/>
        <w:jc w:val="both"/>
      </w:pPr>
      <w:r w:rsidRPr="009D7DF3">
        <w:rPr>
          <w:lang w:eastAsia="lt-LT"/>
        </w:rPr>
        <w:lastRenderedPageBreak/>
        <w:t xml:space="preserve">1.9. </w:t>
      </w:r>
      <w:r w:rsidRPr="009D7DF3">
        <w:t>pakeisti 15.4 papunktį ir jį išdėstyti taip:</w:t>
      </w:r>
    </w:p>
    <w:p w14:paraId="618C006C" w14:textId="77777777" w:rsidR="002535C7" w:rsidRPr="009D7DF3" w:rsidRDefault="002535C7" w:rsidP="002535C7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 w:rsidRPr="009D7DF3">
        <w:rPr>
          <w:rFonts w:ascii="Times New Roman" w:hAnsi="Times New Roman"/>
          <w:sz w:val="24"/>
          <w:szCs w:val="24"/>
          <w:lang w:val="lt-LT"/>
        </w:rPr>
        <w:t>„15.4. rekonstrukcijos, statybos išlaidoms padengti ir ilgalaikiam</w:t>
      </w:r>
      <w:r w:rsidRPr="009D7DF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9D7DF3">
        <w:rPr>
          <w:rFonts w:ascii="Times New Roman" w:hAnsi="Times New Roman"/>
          <w:sz w:val="24"/>
          <w:szCs w:val="24"/>
          <w:lang w:val="lt-LT"/>
        </w:rPr>
        <w:t>turtui įsigyti;“;</w:t>
      </w:r>
    </w:p>
    <w:p w14:paraId="52F912F7" w14:textId="77777777" w:rsidR="002535C7" w:rsidRPr="009D7DF3" w:rsidRDefault="002535C7" w:rsidP="002535C7">
      <w:pPr>
        <w:ind w:firstLine="709"/>
        <w:jc w:val="both"/>
      </w:pPr>
      <w:r w:rsidRPr="009D7DF3">
        <w:rPr>
          <w:lang w:eastAsia="lt-LT"/>
        </w:rPr>
        <w:t xml:space="preserve">1.10. </w:t>
      </w:r>
      <w:r w:rsidRPr="009D7DF3">
        <w:t>pakeisti 22 punktą ir jį išdėstyti taip:</w:t>
      </w:r>
    </w:p>
    <w:p w14:paraId="38595E81" w14:textId="77777777" w:rsidR="002535C7" w:rsidRPr="009D7DF3" w:rsidRDefault="002535C7" w:rsidP="002535C7">
      <w:pPr>
        <w:pStyle w:val="Default"/>
        <w:ind w:firstLine="709"/>
        <w:jc w:val="both"/>
      </w:pPr>
      <w:r w:rsidRPr="009D7DF3">
        <w:t>„22. NVŠ programos veiklos turi būti įgyvendinamos ne rečiau kaip po 2 pedagoginio darbo valandas per savaitę arba ne mažiau kaip 8 pedagoginio darbo valandas per mėnesį. Maksimalų vaikų skaičių NVŠ programos įgyvendinimo grupėje nustato Savivaldybės administracijos direktorius.“;</w:t>
      </w:r>
    </w:p>
    <w:p w14:paraId="578B4D5C" w14:textId="77777777" w:rsidR="002535C7" w:rsidRPr="009D7DF3" w:rsidRDefault="002535C7" w:rsidP="002535C7">
      <w:pPr>
        <w:ind w:firstLine="709"/>
        <w:jc w:val="both"/>
      </w:pPr>
      <w:r w:rsidRPr="009D7DF3">
        <w:rPr>
          <w:lang w:eastAsia="lt-LT"/>
        </w:rPr>
        <w:t xml:space="preserve">1.11. </w:t>
      </w:r>
      <w:r w:rsidRPr="009D7DF3">
        <w:t>pakeisti 37 punktą ir jį išdėstyti taip:</w:t>
      </w:r>
    </w:p>
    <w:p w14:paraId="16239BBD" w14:textId="77777777" w:rsidR="002535C7" w:rsidRPr="009D7DF3" w:rsidRDefault="002535C7" w:rsidP="002535C7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9D7DF3">
        <w:rPr>
          <w:rFonts w:eastAsiaTheme="minorHAnsi"/>
        </w:rPr>
        <w:t xml:space="preserve">„37. Savivaldybės administracijos direktorius, atsižvelgdamas į Komisijos siūlymą, priima sprendimą dėl NVŠ programos atitikties reikalavimams patvirtinimo arba nepatvirtinimo. NVŠ programos atitiktis galioja ne ilgiau kaip 3 metus. Esant pažeidimų, nustatytų vykdant NVŠ programų </w:t>
      </w:r>
      <w:r w:rsidRPr="009D7DF3">
        <w:t>įgyvendinimo stebėseną ir priežiūrą</w:t>
      </w:r>
      <w:r w:rsidRPr="009D7DF3">
        <w:rPr>
          <w:rFonts w:eastAsiaTheme="minorHAnsi"/>
        </w:rPr>
        <w:t xml:space="preserve"> pagal šio Aprašo 46 punkto nuostatas, Savivaldybės administracijos direktoriaus sprendimu NVŠ programos atitiktis gali būti panaikinama.“</w:t>
      </w:r>
    </w:p>
    <w:p w14:paraId="6F1A68EA" w14:textId="77777777" w:rsidR="002535C7" w:rsidRPr="009D7DF3" w:rsidRDefault="002535C7" w:rsidP="002535C7">
      <w:pPr>
        <w:ind w:firstLine="709"/>
        <w:jc w:val="both"/>
      </w:pPr>
      <w:r w:rsidRPr="009D7DF3">
        <w:t>2.</w:t>
      </w:r>
      <w:r w:rsidR="0062391D">
        <w:t> </w:t>
      </w:r>
      <w:r w:rsidRPr="009D7DF3">
        <w:t>Skelbti šį sprendimą Teisės aktų registre ir Klaipėdos miesto savivaldybės interneto svetainėje.</w:t>
      </w:r>
    </w:p>
    <w:p w14:paraId="6337CF3E" w14:textId="77777777" w:rsidR="002535C7" w:rsidRPr="009D7DF3" w:rsidRDefault="002535C7" w:rsidP="002535C7">
      <w:pPr>
        <w:jc w:val="both"/>
      </w:pPr>
    </w:p>
    <w:p w14:paraId="6F166FA3" w14:textId="77777777" w:rsidR="002535C7" w:rsidRPr="009D7DF3" w:rsidRDefault="002535C7" w:rsidP="002535C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5"/>
        <w:gridCol w:w="3173"/>
      </w:tblGrid>
      <w:tr w:rsidR="002535C7" w:rsidRPr="009D7DF3" w14:paraId="001FD9DC" w14:textId="77777777" w:rsidTr="00FC4E04">
        <w:tc>
          <w:tcPr>
            <w:tcW w:w="6629" w:type="dxa"/>
            <w:shd w:val="clear" w:color="auto" w:fill="auto"/>
          </w:tcPr>
          <w:p w14:paraId="4AC5B28E" w14:textId="77777777" w:rsidR="002535C7" w:rsidRPr="009D7DF3" w:rsidRDefault="002535C7" w:rsidP="00FC4E04">
            <w:r>
              <w:t>Savivaldybės mero pavaduotoja</w:t>
            </w:r>
            <w:r w:rsidRPr="009D7DF3"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14:paraId="1D5FD29F" w14:textId="77777777" w:rsidR="002535C7" w:rsidRPr="009D7DF3" w:rsidRDefault="002535C7" w:rsidP="00FC4E04">
            <w:pPr>
              <w:jc w:val="right"/>
            </w:pPr>
            <w:r>
              <w:t>Judita Simonavičiūtė</w:t>
            </w:r>
          </w:p>
        </w:tc>
      </w:tr>
    </w:tbl>
    <w:p w14:paraId="60F573F5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59647" w14:textId="77777777" w:rsidR="004F7687" w:rsidRDefault="004F7687" w:rsidP="00E014C1">
      <w:r>
        <w:separator/>
      </w:r>
    </w:p>
  </w:endnote>
  <w:endnote w:type="continuationSeparator" w:id="0">
    <w:p w14:paraId="5A2CC3E7" w14:textId="77777777" w:rsidR="004F7687" w:rsidRDefault="004F768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C689A" w14:textId="77777777" w:rsidR="004F7687" w:rsidRDefault="004F7687" w:rsidP="00E014C1">
      <w:r>
        <w:separator/>
      </w:r>
    </w:p>
  </w:footnote>
  <w:footnote w:type="continuationSeparator" w:id="0">
    <w:p w14:paraId="4EF88534" w14:textId="77777777" w:rsidR="004F7687" w:rsidRDefault="004F768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B2AFC36" w14:textId="333B3C64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BF6">
          <w:rPr>
            <w:noProof/>
          </w:rPr>
          <w:t>2</w:t>
        </w:r>
        <w:r>
          <w:fldChar w:fldCharType="end"/>
        </w:r>
      </w:p>
    </w:sdtContent>
  </w:sdt>
  <w:p w14:paraId="6B1A967B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352B7"/>
    <w:multiLevelType w:val="multilevel"/>
    <w:tmpl w:val="AFF4B1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0BF6"/>
    <w:rsid w:val="001A2C3C"/>
    <w:rsid w:val="001E7FB1"/>
    <w:rsid w:val="002535C7"/>
    <w:rsid w:val="00320329"/>
    <w:rsid w:val="003222B4"/>
    <w:rsid w:val="004476DD"/>
    <w:rsid w:val="004F7687"/>
    <w:rsid w:val="00597EE8"/>
    <w:rsid w:val="005F495C"/>
    <w:rsid w:val="0062391D"/>
    <w:rsid w:val="008354D5"/>
    <w:rsid w:val="008629AE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656D"/>
  <w15:docId w15:val="{2138436D-2818-4C42-A1C6-0D4B08E5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535C7"/>
    <w:pPr>
      <w:ind w:left="720"/>
      <w:contextualSpacing/>
    </w:pPr>
    <w:rPr>
      <w:lang w:eastAsia="lt-LT"/>
    </w:rPr>
  </w:style>
  <w:style w:type="paragraph" w:customStyle="1" w:styleId="Hyperlink1">
    <w:name w:val="Hyperlink1"/>
    <w:rsid w:val="002535C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253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2553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2017-03-31T05:46:00Z</cp:lastPrinted>
  <dcterms:created xsi:type="dcterms:W3CDTF">2017-04-10T07:39:00Z</dcterms:created>
  <dcterms:modified xsi:type="dcterms:W3CDTF">2017-04-10T07:39:00Z</dcterms:modified>
</cp:coreProperties>
</file>