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AD546" w14:textId="6FBA5485" w:rsidR="00483DCD" w:rsidRPr="00483DCD" w:rsidRDefault="00112D22" w:rsidP="00483DCD">
      <w:pPr>
        <w:tabs>
          <w:tab w:val="left" w:pos="5040"/>
          <w:tab w:val="left" w:pos="5400"/>
        </w:tabs>
        <w:suppressAutoHyphens/>
        <w:ind w:firstLine="8789"/>
        <w:contextualSpacing/>
        <w:jc w:val="both"/>
        <w:rPr>
          <w:rFonts w:eastAsia="Calibri"/>
          <w:color w:val="000000"/>
          <w:lang w:eastAsia="ar-SA"/>
        </w:rPr>
      </w:pPr>
      <w:bookmarkStart w:id="0" w:name="_GoBack"/>
      <w:bookmarkEnd w:id="0"/>
      <w:r w:rsidRPr="00483DCD">
        <w:rPr>
          <w:rFonts w:eastAsia="Calibri"/>
          <w:color w:val="000000"/>
          <w:lang w:eastAsia="ar-SA"/>
        </w:rPr>
        <w:t>Klaipėd</w:t>
      </w:r>
      <w:r w:rsidR="00206BDD">
        <w:rPr>
          <w:rFonts w:eastAsia="Calibri"/>
          <w:color w:val="000000"/>
          <w:lang w:eastAsia="ar-SA"/>
        </w:rPr>
        <w:t>os miesto integruotos teritorijos</w:t>
      </w:r>
      <w:r w:rsidRPr="00483DCD">
        <w:rPr>
          <w:rFonts w:eastAsia="Calibri"/>
          <w:color w:val="000000"/>
          <w:lang w:eastAsia="ar-SA"/>
        </w:rPr>
        <w:t xml:space="preserve"> vystymo programos</w:t>
      </w:r>
    </w:p>
    <w:p w14:paraId="3646C561" w14:textId="0A64919C" w:rsidR="00112D22" w:rsidRPr="00483DCD" w:rsidRDefault="00112D22" w:rsidP="00483DCD">
      <w:pPr>
        <w:tabs>
          <w:tab w:val="left" w:pos="5040"/>
          <w:tab w:val="left" w:pos="5400"/>
        </w:tabs>
        <w:suppressAutoHyphens/>
        <w:ind w:firstLine="8789"/>
        <w:contextualSpacing/>
        <w:jc w:val="both"/>
        <w:rPr>
          <w:rFonts w:eastAsia="Calibri"/>
          <w:caps/>
          <w:color w:val="000000"/>
          <w:lang w:eastAsia="ar-SA"/>
        </w:rPr>
      </w:pPr>
      <w:r w:rsidRPr="00483DCD">
        <w:rPr>
          <w:rFonts w:eastAsia="Calibri"/>
          <w:color w:val="000000"/>
          <w:lang w:eastAsia="ar-SA"/>
        </w:rPr>
        <w:t>1 priedas</w:t>
      </w:r>
    </w:p>
    <w:p w14:paraId="3646C562" w14:textId="77777777" w:rsidR="00112D22" w:rsidRDefault="00112D22" w:rsidP="00DE004A">
      <w:pPr>
        <w:ind w:firstLine="709"/>
        <w:contextualSpacing/>
        <w:jc w:val="both"/>
        <w:rPr>
          <w:rFonts w:eastAsia="Calibri"/>
          <w:color w:val="000000"/>
        </w:rPr>
      </w:pPr>
    </w:p>
    <w:p w14:paraId="28B9F79B" w14:textId="77777777" w:rsidR="00EE37C4" w:rsidRPr="00483DCD" w:rsidRDefault="00EE37C4" w:rsidP="00DE004A">
      <w:pPr>
        <w:ind w:firstLine="709"/>
        <w:contextualSpacing/>
        <w:jc w:val="both"/>
        <w:rPr>
          <w:rFonts w:eastAsia="Calibri"/>
          <w:color w:val="000000"/>
        </w:rPr>
      </w:pPr>
    </w:p>
    <w:p w14:paraId="3646C563" w14:textId="77777777" w:rsidR="00112D22" w:rsidRPr="00483DCD" w:rsidRDefault="00112D22" w:rsidP="00DE004A">
      <w:pPr>
        <w:keepNext/>
        <w:keepLines/>
        <w:contextualSpacing/>
        <w:jc w:val="center"/>
        <w:outlineLvl w:val="2"/>
        <w:rPr>
          <w:rFonts w:ascii="Cambria" w:eastAsia="Cambria" w:hAnsi="Cambria" w:cs="Cambria"/>
          <w:b/>
          <w:i/>
          <w:color w:val="000000"/>
          <w:sz w:val="28"/>
          <w:szCs w:val="22"/>
          <w:lang w:eastAsia="lt-LT"/>
        </w:rPr>
      </w:pPr>
      <w:r w:rsidRPr="00483DCD">
        <w:rPr>
          <w:b/>
          <w:color w:val="000000"/>
          <w:szCs w:val="22"/>
          <w:lang w:eastAsia="lt-LT"/>
        </w:rPr>
        <w:t>STIPRYBIŲ, SILPNYBIŲ, GALIMYBIŲ IR GRĖSMIŲ LENTELĖ</w:t>
      </w:r>
    </w:p>
    <w:p w14:paraId="3646C564" w14:textId="77777777" w:rsidR="00112D22" w:rsidRPr="00483DCD" w:rsidRDefault="00112D22" w:rsidP="00DE004A">
      <w:pPr>
        <w:contextualSpacing/>
        <w:jc w:val="both"/>
      </w:pPr>
      <w:r w:rsidRPr="00483DCD">
        <w:rPr>
          <w:b/>
          <w:color w:val="000000"/>
          <w:sz w:val="20"/>
          <w:szCs w:val="22"/>
          <w:lang w:eastAsia="lt-LT"/>
        </w:rPr>
        <w:t xml:space="preserve"> </w:t>
      </w:r>
    </w:p>
    <w:tbl>
      <w:tblPr>
        <w:tblW w:w="146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89"/>
        <w:gridCol w:w="1417"/>
        <w:gridCol w:w="10490"/>
      </w:tblGrid>
      <w:tr w:rsidR="00902C72" w:rsidRPr="00483DCD" w14:paraId="3646C569"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65" w14:textId="77777777" w:rsidR="00902C72" w:rsidRPr="00483DCD" w:rsidRDefault="00902C72" w:rsidP="00DE004A">
            <w:pPr>
              <w:jc w:val="center"/>
              <w:rPr>
                <w:b/>
              </w:rPr>
            </w:pPr>
            <w:r w:rsidRPr="00483DCD">
              <w:rPr>
                <w:b/>
              </w:rPr>
              <w:t>Eil. Nr.</w:t>
            </w:r>
          </w:p>
        </w:tc>
        <w:tc>
          <w:tcPr>
            <w:tcW w:w="2189" w:type="dxa"/>
            <w:tcBorders>
              <w:top w:val="single" w:sz="4" w:space="0" w:color="auto"/>
              <w:left w:val="single" w:sz="4" w:space="0" w:color="auto"/>
              <w:bottom w:val="single" w:sz="4" w:space="0" w:color="auto"/>
              <w:right w:val="single" w:sz="4" w:space="0" w:color="auto"/>
            </w:tcBorders>
            <w:hideMark/>
          </w:tcPr>
          <w:p w14:paraId="3646C566" w14:textId="77777777" w:rsidR="00902C72" w:rsidRPr="00483DCD" w:rsidRDefault="00902C72" w:rsidP="00DE004A">
            <w:pPr>
              <w:jc w:val="center"/>
              <w:rPr>
                <w:b/>
              </w:rPr>
            </w:pPr>
            <w:r w:rsidRPr="00483DCD">
              <w:rPr>
                <w:b/>
              </w:rPr>
              <w:t>Stiprybės</w:t>
            </w:r>
          </w:p>
        </w:tc>
        <w:tc>
          <w:tcPr>
            <w:tcW w:w="1417" w:type="dxa"/>
            <w:tcBorders>
              <w:top w:val="single" w:sz="4" w:space="0" w:color="auto"/>
              <w:left w:val="single" w:sz="4" w:space="0" w:color="auto"/>
              <w:bottom w:val="single" w:sz="4" w:space="0" w:color="auto"/>
              <w:right w:val="single" w:sz="4" w:space="0" w:color="auto"/>
            </w:tcBorders>
            <w:hideMark/>
          </w:tcPr>
          <w:p w14:paraId="3646C567" w14:textId="77777777" w:rsidR="00902C72" w:rsidRPr="00483DCD" w:rsidRDefault="00902C72" w:rsidP="00DE004A">
            <w:pPr>
              <w:jc w:val="center"/>
              <w:rPr>
                <w:b/>
              </w:rPr>
            </w:pPr>
            <w:r w:rsidRPr="00483DCD">
              <w:rPr>
                <w:b/>
              </w:rPr>
              <w:t xml:space="preserve">Aktualumo įvertinimas </w:t>
            </w:r>
          </w:p>
        </w:tc>
        <w:tc>
          <w:tcPr>
            <w:tcW w:w="10490" w:type="dxa"/>
            <w:tcBorders>
              <w:top w:val="single" w:sz="4" w:space="0" w:color="auto"/>
              <w:left w:val="single" w:sz="4" w:space="0" w:color="auto"/>
              <w:bottom w:val="single" w:sz="4" w:space="0" w:color="auto"/>
              <w:right w:val="single" w:sz="4" w:space="0" w:color="auto"/>
            </w:tcBorders>
            <w:hideMark/>
          </w:tcPr>
          <w:p w14:paraId="3646C568" w14:textId="77777777" w:rsidR="00902C72" w:rsidRPr="00483DCD" w:rsidRDefault="00902C72" w:rsidP="00DE004A">
            <w:pPr>
              <w:jc w:val="center"/>
              <w:rPr>
                <w:b/>
              </w:rPr>
            </w:pPr>
            <w:r w:rsidRPr="00483DCD">
              <w:rPr>
                <w:b/>
              </w:rPr>
              <w:t>Suteiktą įvertinimą pagrindžianti informacija, prielaidos</w:t>
            </w:r>
          </w:p>
        </w:tc>
      </w:tr>
      <w:tr w:rsidR="00902C72" w:rsidRPr="00483DCD" w14:paraId="3646C56E"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6A" w14:textId="77777777" w:rsidR="00902C72" w:rsidRPr="00483DCD" w:rsidRDefault="00902C72" w:rsidP="00DE004A">
            <w:pPr>
              <w:jc w:val="both"/>
            </w:pPr>
            <w:r w:rsidRPr="00483DCD">
              <w:t>1.</w:t>
            </w:r>
          </w:p>
        </w:tc>
        <w:tc>
          <w:tcPr>
            <w:tcW w:w="2189" w:type="dxa"/>
            <w:tcBorders>
              <w:top w:val="single" w:sz="4" w:space="0" w:color="auto"/>
              <w:left w:val="single" w:sz="4" w:space="0" w:color="auto"/>
              <w:bottom w:val="single" w:sz="4" w:space="0" w:color="auto"/>
              <w:right w:val="single" w:sz="4" w:space="0" w:color="auto"/>
            </w:tcBorders>
            <w:hideMark/>
          </w:tcPr>
          <w:p w14:paraId="3646C56B" w14:textId="77777777" w:rsidR="00902C72" w:rsidRPr="00483DCD" w:rsidRDefault="00902C72" w:rsidP="00DE004A">
            <w:r w:rsidRPr="00483DCD">
              <w:t xml:space="preserve">Konkurencinga geografiniu ir urbanistiniu požiūriu tikslinė teritorija </w:t>
            </w:r>
          </w:p>
        </w:tc>
        <w:tc>
          <w:tcPr>
            <w:tcW w:w="1417" w:type="dxa"/>
            <w:tcBorders>
              <w:top w:val="single" w:sz="4" w:space="0" w:color="auto"/>
              <w:left w:val="single" w:sz="4" w:space="0" w:color="auto"/>
              <w:bottom w:val="single" w:sz="4" w:space="0" w:color="auto"/>
              <w:right w:val="single" w:sz="4" w:space="0" w:color="auto"/>
            </w:tcBorders>
            <w:hideMark/>
          </w:tcPr>
          <w:p w14:paraId="3646C56C" w14:textId="77777777" w:rsidR="00902C72" w:rsidRPr="00483DCD" w:rsidRDefault="00902C72" w:rsidP="00DE004A">
            <w:pPr>
              <w:jc w:val="center"/>
            </w:pPr>
            <w:r w:rsidRPr="00483DCD">
              <w:t>5</w:t>
            </w:r>
          </w:p>
        </w:tc>
        <w:tc>
          <w:tcPr>
            <w:tcW w:w="10490" w:type="dxa"/>
            <w:tcBorders>
              <w:top w:val="single" w:sz="4" w:space="0" w:color="auto"/>
              <w:left w:val="single" w:sz="4" w:space="0" w:color="auto"/>
              <w:bottom w:val="single" w:sz="4" w:space="0" w:color="auto"/>
              <w:right w:val="single" w:sz="4" w:space="0" w:color="auto"/>
            </w:tcBorders>
            <w:hideMark/>
          </w:tcPr>
          <w:p w14:paraId="3646C56D" w14:textId="77777777" w:rsidR="00902C72" w:rsidRPr="00483DCD" w:rsidRDefault="00902C72" w:rsidP="00DE004A">
            <w:pPr>
              <w:tabs>
                <w:tab w:val="left" w:pos="540"/>
              </w:tabs>
              <w:jc w:val="both"/>
            </w:pPr>
            <w:r w:rsidRPr="00483DCD">
              <w:t>Teritorija apima centrinę miesto dalį ir yra tarp senamiesčio ir komercinio centro, kvartalo pasiekiamumas visuomeniniu transportu išvystytas optimaliai. Gaunami pasiūlymai investuoti į objektus, esančius tikslinės teritorijos rajone. Teritorijoje yra daug parkų, viešųjų erdvių (Trinyčių parkas, Ąžuolų</w:t>
            </w:r>
            <w:r w:rsidRPr="00483DCD">
              <w:rPr>
                <w:b/>
              </w:rPr>
              <w:t xml:space="preserve"> </w:t>
            </w:r>
            <w:r w:rsidRPr="00483DCD">
              <w:t>giraitė, skveras prieš buvusį „Vaidilos“ kino teatrą ir t. t.). Visos minėtos teritorijos yra apleistos, tačiau tinkamai sutvarkytos būtų patrauklios tiek teritorijos gyventojams, tiek miestiečiams ir svečiams. Teritorijoje yra visi reikalingi tinklai: elektros, šilumos, vandens tiekimo ir nuotekų</w:t>
            </w:r>
          </w:p>
        </w:tc>
      </w:tr>
      <w:tr w:rsidR="00902C72" w:rsidRPr="00483DCD" w14:paraId="3646C574"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6F" w14:textId="77777777" w:rsidR="00902C72" w:rsidRPr="00483DCD" w:rsidRDefault="00902C72" w:rsidP="00DE004A">
            <w:pPr>
              <w:jc w:val="both"/>
            </w:pPr>
            <w:r w:rsidRPr="00483DCD">
              <w:t>2.</w:t>
            </w:r>
          </w:p>
        </w:tc>
        <w:tc>
          <w:tcPr>
            <w:tcW w:w="2189" w:type="dxa"/>
            <w:tcBorders>
              <w:top w:val="single" w:sz="4" w:space="0" w:color="auto"/>
              <w:left w:val="single" w:sz="4" w:space="0" w:color="auto"/>
              <w:bottom w:val="single" w:sz="4" w:space="0" w:color="auto"/>
              <w:right w:val="single" w:sz="4" w:space="0" w:color="auto"/>
            </w:tcBorders>
            <w:hideMark/>
          </w:tcPr>
          <w:p w14:paraId="3646C570" w14:textId="77777777" w:rsidR="00902C72" w:rsidRPr="00483DCD" w:rsidRDefault="00902C72" w:rsidP="00DE004A">
            <w:r w:rsidRPr="00483DCD">
              <w:t>Teritorijoje yra didelė koncentracija viešąsias paslaugas teikiančių įstaigų</w:t>
            </w:r>
          </w:p>
        </w:tc>
        <w:tc>
          <w:tcPr>
            <w:tcW w:w="1417" w:type="dxa"/>
            <w:tcBorders>
              <w:top w:val="single" w:sz="4" w:space="0" w:color="auto"/>
              <w:left w:val="single" w:sz="4" w:space="0" w:color="auto"/>
              <w:bottom w:val="single" w:sz="4" w:space="0" w:color="auto"/>
              <w:right w:val="single" w:sz="4" w:space="0" w:color="auto"/>
            </w:tcBorders>
            <w:hideMark/>
          </w:tcPr>
          <w:p w14:paraId="3646C571" w14:textId="77777777" w:rsidR="00902C72" w:rsidRPr="00483DCD" w:rsidRDefault="00902C72" w:rsidP="00DE004A">
            <w:pPr>
              <w:jc w:val="center"/>
            </w:pPr>
            <w:r w:rsidRPr="00483DCD">
              <w:t>3</w:t>
            </w:r>
          </w:p>
        </w:tc>
        <w:tc>
          <w:tcPr>
            <w:tcW w:w="10490" w:type="dxa"/>
            <w:tcBorders>
              <w:top w:val="single" w:sz="4" w:space="0" w:color="auto"/>
              <w:left w:val="single" w:sz="4" w:space="0" w:color="auto"/>
              <w:bottom w:val="single" w:sz="4" w:space="0" w:color="auto"/>
              <w:right w:val="single" w:sz="4" w:space="0" w:color="auto"/>
            </w:tcBorders>
            <w:hideMark/>
          </w:tcPr>
          <w:p w14:paraId="3646C572" w14:textId="77777777" w:rsidR="00902C72" w:rsidRPr="00483DCD" w:rsidRDefault="00902C72" w:rsidP="00DE004A">
            <w:pPr>
              <w:tabs>
                <w:tab w:val="left" w:pos="540"/>
              </w:tabs>
              <w:jc w:val="both"/>
            </w:pPr>
            <w:r w:rsidRPr="00483DCD">
              <w:t>Nagrinėjamoje teritorijoje veikia Klaipėdos miesto savivaldybės viešosios bibliotekos Jaunimo skyrius ir vaikų filialas „Pelėdžiukas“, įsikūrę adresu Tilžės g. 9 ir Tilžės g. 11, „Kauno atžalyno“ filialas, įsikūręs adresu Kauno g. 49. Taip pat teritorijoje įsikūręs Klaipėdos muzikinis teatras, Laikrodžių muziejus, neseniai atidarytas Kultūros fabrikas.</w:t>
            </w:r>
          </w:p>
          <w:p w14:paraId="3646C573" w14:textId="3954C8AE" w:rsidR="00902C72" w:rsidRPr="00483DCD" w:rsidRDefault="00902C72" w:rsidP="00483DCD">
            <w:pPr>
              <w:jc w:val="both"/>
            </w:pPr>
            <w:r w:rsidRPr="00483DCD">
              <w:t>Tikslinėje teritorijoje veikia 16 švietimo įstaigų: 6 lopšeliai-darželiai („Žiogelis“ (lanko 147 vaikai), „Klevelis“ (lanko 227 vaikai), „Pingviniukas“ (lanko 116 vaikų), „Kregždutė“ (lanko 117 vaikų), „Vėrinėlis“ (lanko 109 vaikai) „Radastėlė“ (lanko 105 vaikai)), 3 mokyklos-darželiai („Inkarėli</w:t>
            </w:r>
            <w:r w:rsidR="00483DCD">
              <w:t>o</w:t>
            </w:r>
            <w:r w:rsidRPr="00483DCD">
              <w:t>“ (lanko 74 vaikai), „Saulutė</w:t>
            </w:r>
            <w:r w:rsidR="00483DCD">
              <w:t>s</w:t>
            </w:r>
            <w:r w:rsidRPr="00483DCD">
              <w:t>“ (lanko 95 vaikai), „Šaltinėli</w:t>
            </w:r>
            <w:r w:rsidR="00483DCD">
              <w:t>o</w:t>
            </w:r>
            <w:r w:rsidRPr="00483DCD">
              <w:t xml:space="preserve">“ (lanko 86 vaikai)), 2 gimnazijos („Ąžuolyno“ (lanko 860 mokinių) ir „Aitvaro“ (lanko 402 mokiniai)), 2 progimnazijos („Gabijos“ (lanko 332 mokiniai) </w:t>
            </w:r>
            <w:r w:rsidR="00483DCD">
              <w:t xml:space="preserve">ir </w:t>
            </w:r>
            <w:r w:rsidRPr="00483DCD">
              <w:t>„Sendvario“ (lanko 402 mokiniai)), pagrindinė mokykla („Saulėtekio“ (lanko 301 mokinys“))</w:t>
            </w:r>
            <w:r w:rsidR="00483DCD">
              <w:t>,</w:t>
            </w:r>
            <w:r w:rsidRPr="00483DCD">
              <w:t xml:space="preserve"> Adomo Brako dailės mokykla (lanko 323 mokiniai)</w:t>
            </w:r>
            <w:r w:rsidR="00483DCD">
              <w:t xml:space="preserve"> ir</w:t>
            </w:r>
            <w:r w:rsidRPr="00483DCD">
              <w:t xml:space="preserve"> Jaunimo centras</w:t>
            </w:r>
          </w:p>
        </w:tc>
      </w:tr>
      <w:tr w:rsidR="00902C72" w:rsidRPr="00483DCD" w14:paraId="3646C579"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75" w14:textId="77777777" w:rsidR="00902C72" w:rsidRPr="00483DCD" w:rsidRDefault="00902C72" w:rsidP="00DE004A">
            <w:pPr>
              <w:jc w:val="both"/>
            </w:pPr>
            <w:r w:rsidRPr="00483DCD">
              <w:t>3.</w:t>
            </w:r>
          </w:p>
        </w:tc>
        <w:tc>
          <w:tcPr>
            <w:tcW w:w="2189" w:type="dxa"/>
            <w:tcBorders>
              <w:top w:val="single" w:sz="4" w:space="0" w:color="auto"/>
              <w:left w:val="single" w:sz="4" w:space="0" w:color="auto"/>
              <w:bottom w:val="single" w:sz="4" w:space="0" w:color="auto"/>
              <w:right w:val="single" w:sz="4" w:space="0" w:color="auto"/>
            </w:tcBorders>
            <w:hideMark/>
          </w:tcPr>
          <w:p w14:paraId="3646C576" w14:textId="77777777" w:rsidR="00902C72" w:rsidRPr="00483DCD" w:rsidRDefault="00902C72" w:rsidP="00DE004A">
            <w:r w:rsidRPr="00483DCD">
              <w:t xml:space="preserve">Tinkamų konversijai plotų potencialas </w:t>
            </w:r>
          </w:p>
        </w:tc>
        <w:tc>
          <w:tcPr>
            <w:tcW w:w="1417" w:type="dxa"/>
            <w:tcBorders>
              <w:top w:val="single" w:sz="4" w:space="0" w:color="auto"/>
              <w:left w:val="single" w:sz="4" w:space="0" w:color="auto"/>
              <w:bottom w:val="single" w:sz="4" w:space="0" w:color="auto"/>
              <w:right w:val="single" w:sz="4" w:space="0" w:color="auto"/>
            </w:tcBorders>
            <w:hideMark/>
          </w:tcPr>
          <w:p w14:paraId="3646C577" w14:textId="77777777" w:rsidR="00902C72" w:rsidRPr="00483DCD" w:rsidRDefault="00902C72" w:rsidP="00DE004A">
            <w:pPr>
              <w:jc w:val="center"/>
            </w:pPr>
            <w:r w:rsidRPr="00483DCD">
              <w:t>5</w:t>
            </w:r>
          </w:p>
        </w:tc>
        <w:tc>
          <w:tcPr>
            <w:tcW w:w="10490" w:type="dxa"/>
            <w:tcBorders>
              <w:top w:val="single" w:sz="4" w:space="0" w:color="auto"/>
              <w:left w:val="single" w:sz="4" w:space="0" w:color="auto"/>
              <w:bottom w:val="single" w:sz="4" w:space="0" w:color="auto"/>
              <w:right w:val="single" w:sz="4" w:space="0" w:color="auto"/>
            </w:tcBorders>
            <w:hideMark/>
          </w:tcPr>
          <w:p w14:paraId="3646C578" w14:textId="4ED7B8C0" w:rsidR="00902C72" w:rsidRPr="00483DCD" w:rsidRDefault="00902C72" w:rsidP="005E066E">
            <w:pPr>
              <w:jc w:val="both"/>
            </w:pPr>
            <w:r w:rsidRPr="00483DCD">
              <w:t xml:space="preserve">Teritorijoje yra konversijai tinkamų plotų – Futbolo mokyklos ir baseino pastatų, Senojo turgaus ir </w:t>
            </w:r>
            <w:r w:rsidR="005E066E">
              <w:t>2</w:t>
            </w:r>
            <w:r w:rsidR="005E066E">
              <w:noBreakHyphen/>
              <w:t>osios</w:t>
            </w:r>
            <w:r w:rsidRPr="00483DCD">
              <w:t xml:space="preserve"> vandenvietės teritorijos. Taip pat yra apleistų viešųjų erdvių (skveras prieš buvusį „Vaidilos“ kino teatrą, pėsčiųjų takas palei Taikos </w:t>
            </w:r>
            <w:r w:rsidR="00483DCD">
              <w:t>per</w:t>
            </w:r>
            <w:r w:rsidRPr="00483DCD">
              <w:t>. nuo Sausio 15-osios g. iki Kauno g. ir t. t.). Juose galima sukurti naujos kokybės teritorijas, tinkamas įsikurti smulkiajam ir vidutiniam verslui, leisti laisvalaikį gyventojams</w:t>
            </w:r>
          </w:p>
        </w:tc>
      </w:tr>
    </w:tbl>
    <w:p w14:paraId="3646C57A" w14:textId="77777777" w:rsidR="00902C72" w:rsidRPr="00483DCD" w:rsidRDefault="00902C72" w:rsidP="00DE004A">
      <w:pPr>
        <w:jc w:val="center"/>
      </w:pPr>
    </w:p>
    <w:tbl>
      <w:tblPr>
        <w:tblW w:w="146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89"/>
        <w:gridCol w:w="1417"/>
        <w:gridCol w:w="10490"/>
      </w:tblGrid>
      <w:tr w:rsidR="00902C72" w:rsidRPr="00483DCD" w14:paraId="3646C57F" w14:textId="77777777" w:rsidTr="00902C72">
        <w:trPr>
          <w:trHeight w:val="693"/>
        </w:trPr>
        <w:tc>
          <w:tcPr>
            <w:tcW w:w="570" w:type="dxa"/>
            <w:tcBorders>
              <w:top w:val="single" w:sz="4" w:space="0" w:color="auto"/>
              <w:left w:val="single" w:sz="4" w:space="0" w:color="auto"/>
              <w:bottom w:val="single" w:sz="4" w:space="0" w:color="auto"/>
              <w:right w:val="single" w:sz="4" w:space="0" w:color="auto"/>
            </w:tcBorders>
            <w:hideMark/>
          </w:tcPr>
          <w:p w14:paraId="3646C57B" w14:textId="77777777" w:rsidR="00902C72" w:rsidRPr="00483DCD" w:rsidRDefault="00902C72" w:rsidP="00DE004A">
            <w:pPr>
              <w:jc w:val="center"/>
              <w:rPr>
                <w:b/>
              </w:rPr>
            </w:pPr>
            <w:r w:rsidRPr="00483DCD">
              <w:rPr>
                <w:b/>
              </w:rPr>
              <w:t>Eil. Nr.</w:t>
            </w:r>
          </w:p>
        </w:tc>
        <w:tc>
          <w:tcPr>
            <w:tcW w:w="2189" w:type="dxa"/>
            <w:tcBorders>
              <w:top w:val="single" w:sz="4" w:space="0" w:color="auto"/>
              <w:left w:val="single" w:sz="4" w:space="0" w:color="auto"/>
              <w:bottom w:val="single" w:sz="4" w:space="0" w:color="auto"/>
              <w:right w:val="single" w:sz="4" w:space="0" w:color="auto"/>
            </w:tcBorders>
            <w:hideMark/>
          </w:tcPr>
          <w:p w14:paraId="3646C57C" w14:textId="77777777" w:rsidR="00902C72" w:rsidRPr="00483DCD" w:rsidRDefault="00902C72" w:rsidP="00DE004A">
            <w:pPr>
              <w:jc w:val="center"/>
              <w:rPr>
                <w:b/>
              </w:rPr>
            </w:pPr>
            <w:r w:rsidRPr="00483DCD">
              <w:rPr>
                <w:b/>
              </w:rPr>
              <w:t>Silpnybės</w:t>
            </w:r>
          </w:p>
        </w:tc>
        <w:tc>
          <w:tcPr>
            <w:tcW w:w="1417" w:type="dxa"/>
            <w:tcBorders>
              <w:top w:val="single" w:sz="4" w:space="0" w:color="auto"/>
              <w:left w:val="single" w:sz="4" w:space="0" w:color="auto"/>
              <w:bottom w:val="single" w:sz="4" w:space="0" w:color="auto"/>
              <w:right w:val="single" w:sz="4" w:space="0" w:color="auto"/>
            </w:tcBorders>
            <w:hideMark/>
          </w:tcPr>
          <w:p w14:paraId="3646C57D" w14:textId="77777777" w:rsidR="00902C72" w:rsidRPr="00483DCD" w:rsidRDefault="00902C72" w:rsidP="00DE004A">
            <w:pPr>
              <w:jc w:val="center"/>
              <w:rPr>
                <w:b/>
              </w:rPr>
            </w:pPr>
            <w:r w:rsidRPr="00483DCD">
              <w:rPr>
                <w:b/>
              </w:rPr>
              <w:t xml:space="preserve">Aktualumo įvertinimas </w:t>
            </w:r>
          </w:p>
        </w:tc>
        <w:tc>
          <w:tcPr>
            <w:tcW w:w="10490" w:type="dxa"/>
            <w:tcBorders>
              <w:top w:val="single" w:sz="4" w:space="0" w:color="auto"/>
              <w:left w:val="single" w:sz="4" w:space="0" w:color="auto"/>
              <w:bottom w:val="single" w:sz="4" w:space="0" w:color="auto"/>
              <w:right w:val="single" w:sz="4" w:space="0" w:color="auto"/>
            </w:tcBorders>
            <w:hideMark/>
          </w:tcPr>
          <w:p w14:paraId="3646C57E" w14:textId="77777777" w:rsidR="00902C72" w:rsidRPr="00483DCD" w:rsidRDefault="00902C72" w:rsidP="00DE004A">
            <w:pPr>
              <w:jc w:val="center"/>
              <w:rPr>
                <w:b/>
              </w:rPr>
            </w:pPr>
            <w:r w:rsidRPr="00483DCD">
              <w:rPr>
                <w:b/>
              </w:rPr>
              <w:t>Suteiktą įvertinimą pagrindžianti informacija, prielaidos</w:t>
            </w:r>
          </w:p>
        </w:tc>
      </w:tr>
      <w:tr w:rsidR="00902C72" w:rsidRPr="00483DCD" w14:paraId="3646C584"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80" w14:textId="77777777" w:rsidR="00902C72" w:rsidRPr="00483DCD" w:rsidRDefault="00902C72" w:rsidP="00DE004A">
            <w:pPr>
              <w:jc w:val="center"/>
            </w:pPr>
            <w:r w:rsidRPr="00483DCD">
              <w:lastRenderedPageBreak/>
              <w:t>1.</w:t>
            </w:r>
          </w:p>
        </w:tc>
        <w:tc>
          <w:tcPr>
            <w:tcW w:w="2189" w:type="dxa"/>
            <w:tcBorders>
              <w:top w:val="single" w:sz="4" w:space="0" w:color="auto"/>
              <w:left w:val="single" w:sz="4" w:space="0" w:color="auto"/>
              <w:bottom w:val="single" w:sz="4" w:space="0" w:color="auto"/>
              <w:right w:val="single" w:sz="4" w:space="0" w:color="auto"/>
            </w:tcBorders>
            <w:hideMark/>
          </w:tcPr>
          <w:p w14:paraId="3646C581" w14:textId="77777777" w:rsidR="00902C72" w:rsidRPr="00483DCD" w:rsidRDefault="00902C72" w:rsidP="00DE004A">
            <w:r w:rsidRPr="00483DCD">
              <w:t>Didelį gyventojų procentą sudaro pensinio amžiaus gyventojai</w:t>
            </w:r>
          </w:p>
        </w:tc>
        <w:tc>
          <w:tcPr>
            <w:tcW w:w="1417" w:type="dxa"/>
            <w:tcBorders>
              <w:top w:val="single" w:sz="4" w:space="0" w:color="auto"/>
              <w:left w:val="single" w:sz="4" w:space="0" w:color="auto"/>
              <w:bottom w:val="single" w:sz="4" w:space="0" w:color="auto"/>
              <w:right w:val="single" w:sz="4" w:space="0" w:color="auto"/>
            </w:tcBorders>
            <w:hideMark/>
          </w:tcPr>
          <w:p w14:paraId="3646C582" w14:textId="77777777" w:rsidR="00902C72" w:rsidRPr="00483DCD" w:rsidRDefault="00902C72" w:rsidP="00DE004A">
            <w:pPr>
              <w:jc w:val="center"/>
            </w:pPr>
            <w:r w:rsidRPr="00483DCD">
              <w:t>5</w:t>
            </w:r>
          </w:p>
        </w:tc>
        <w:tc>
          <w:tcPr>
            <w:tcW w:w="10490" w:type="dxa"/>
            <w:tcBorders>
              <w:top w:val="single" w:sz="4" w:space="0" w:color="auto"/>
              <w:left w:val="single" w:sz="4" w:space="0" w:color="auto"/>
              <w:bottom w:val="single" w:sz="4" w:space="0" w:color="auto"/>
              <w:right w:val="single" w:sz="4" w:space="0" w:color="auto"/>
            </w:tcBorders>
            <w:hideMark/>
          </w:tcPr>
          <w:p w14:paraId="3646C583" w14:textId="0C6384A4" w:rsidR="00902C72" w:rsidRPr="00483DCD" w:rsidRDefault="00902C72" w:rsidP="00DE004A">
            <w:pPr>
              <w:tabs>
                <w:tab w:val="left" w:pos="720"/>
              </w:tabs>
              <w:jc w:val="both"/>
            </w:pPr>
            <w:r w:rsidRPr="00483DCD">
              <w:t>Sovietinės statybos daugiabučių namų kvartaluose (Paryžiaus Komunos g., Kauno g., Rumšiškės g. ir kt.) gyvena daugiau vyresnio amžiaus žmonių. Tai atsispindi Klaipėdos miesto bendroj</w:t>
            </w:r>
            <w:r w:rsidR="0072579C">
              <w:t>o plano monitoringo ataskaitoje</w:t>
            </w:r>
            <w:r w:rsidRPr="00483DCD">
              <w:t xml:space="preserve"> </w:t>
            </w:r>
          </w:p>
        </w:tc>
      </w:tr>
      <w:tr w:rsidR="00902C72" w:rsidRPr="00483DCD" w14:paraId="3646C58B"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85" w14:textId="77777777" w:rsidR="00902C72" w:rsidRPr="00483DCD" w:rsidRDefault="00902C72" w:rsidP="00DE004A">
            <w:pPr>
              <w:jc w:val="center"/>
            </w:pPr>
            <w:r w:rsidRPr="00483DCD">
              <w:t>2.</w:t>
            </w:r>
          </w:p>
        </w:tc>
        <w:tc>
          <w:tcPr>
            <w:tcW w:w="2189" w:type="dxa"/>
            <w:tcBorders>
              <w:top w:val="single" w:sz="4" w:space="0" w:color="auto"/>
              <w:left w:val="single" w:sz="4" w:space="0" w:color="auto"/>
              <w:bottom w:val="single" w:sz="4" w:space="0" w:color="auto"/>
              <w:right w:val="single" w:sz="4" w:space="0" w:color="auto"/>
            </w:tcBorders>
            <w:hideMark/>
          </w:tcPr>
          <w:p w14:paraId="3646C586" w14:textId="77777777" w:rsidR="00902C72" w:rsidRPr="00483DCD" w:rsidRDefault="00902C72" w:rsidP="00DE004A">
            <w:r w:rsidRPr="00483DCD">
              <w:t xml:space="preserve">Socialinės problemos </w:t>
            </w:r>
          </w:p>
        </w:tc>
        <w:tc>
          <w:tcPr>
            <w:tcW w:w="1417" w:type="dxa"/>
            <w:tcBorders>
              <w:top w:val="single" w:sz="4" w:space="0" w:color="auto"/>
              <w:left w:val="single" w:sz="4" w:space="0" w:color="auto"/>
              <w:bottom w:val="single" w:sz="4" w:space="0" w:color="auto"/>
              <w:right w:val="single" w:sz="4" w:space="0" w:color="auto"/>
            </w:tcBorders>
            <w:hideMark/>
          </w:tcPr>
          <w:p w14:paraId="3646C587" w14:textId="77777777" w:rsidR="00902C72" w:rsidRPr="00483DCD" w:rsidRDefault="00902C72" w:rsidP="00DE004A">
            <w:pPr>
              <w:jc w:val="center"/>
            </w:pPr>
            <w:r w:rsidRPr="00483DCD">
              <w:t>5</w:t>
            </w:r>
          </w:p>
        </w:tc>
        <w:tc>
          <w:tcPr>
            <w:tcW w:w="10490" w:type="dxa"/>
            <w:tcBorders>
              <w:top w:val="single" w:sz="4" w:space="0" w:color="auto"/>
              <w:left w:val="single" w:sz="4" w:space="0" w:color="auto"/>
              <w:bottom w:val="single" w:sz="4" w:space="0" w:color="auto"/>
              <w:right w:val="single" w:sz="4" w:space="0" w:color="auto"/>
            </w:tcBorders>
            <w:hideMark/>
          </w:tcPr>
          <w:p w14:paraId="3646C588" w14:textId="77869BD4" w:rsidR="00902C72" w:rsidRPr="00483DCD" w:rsidRDefault="00902C72" w:rsidP="00DE004A">
            <w:pPr>
              <w:tabs>
                <w:tab w:val="left" w:pos="540"/>
              </w:tabs>
              <w:jc w:val="both"/>
            </w:pPr>
            <w:r w:rsidRPr="00483DCD">
              <w:t>Nagrinėjamoje miesto teritorijoje gyvena 46 šeimos, įrašytos į socialinės rizikos šeimų, auginančių vaikus, apskaitą. Specialiųjų poreikių asmenų šioje teritorijoje yra 802, t. y. 13,5 proc. (iš viso mieste – 5920), slaugos išmoką gaunančių yra 170 , t. y. 12,3 proc. (iš viso – 1382 ), priežiūros išmoką gaunančių yra 394, t. y. 15,2 proc. (iš viso – 2595), šalpos išmoką gaunančių yra 185, t. y. 10 proc. (iš viso – 1887), su mažomis pajamomis ir gaunantys piniginę paramą socialinės pašalpos gavėjų yra 821</w:t>
            </w:r>
            <w:r w:rsidR="0072579C">
              <w:t>,</w:t>
            </w:r>
            <w:r w:rsidRPr="00483DCD">
              <w:t xml:space="preserve"> t. y. 12,1 proc. (iš viso – 6764), kompensacijų už būsto šildymą ir vandenį gavėjų yra 1696</w:t>
            </w:r>
            <w:r w:rsidR="0072579C">
              <w:t>,</w:t>
            </w:r>
            <w:r w:rsidRPr="00483DCD">
              <w:t xml:space="preserve"> t. y. 14,4 proc. (iš viso – 11</w:t>
            </w:r>
            <w:r w:rsidR="0072579C">
              <w:t> </w:t>
            </w:r>
            <w:r w:rsidRPr="00483DCD">
              <w:t xml:space="preserve">799). </w:t>
            </w:r>
          </w:p>
          <w:p w14:paraId="3646C589" w14:textId="77777777" w:rsidR="00902C72" w:rsidRPr="00483DCD" w:rsidRDefault="00902C72" w:rsidP="00DE004A">
            <w:pPr>
              <w:jc w:val="both"/>
            </w:pPr>
            <w:r w:rsidRPr="00483DCD">
              <w:t xml:space="preserve">Mažas gyventojų fizinis aktyvumas (visiškai nesimankština ir nesportuoja net 44 proc. gyventojų), netinkami mitybos įpročiai, kiti sveikatą žalojantys ir su nesveika gyvensena susiję veiksniai (perteklinis alkoholio vartojimas, rūkymas) yra pagrindinės širdies kraujagyslių ir kraujo apytakos, susirgimų vėžiu, nelaimingų atsitikimų ir sužalojimų, psichikos sutrikimų priežastys, nulemiančios didelį ankstyvų mirčių ir neįgalumo atvejų skaičių. </w:t>
            </w:r>
          </w:p>
          <w:p w14:paraId="3646C58A" w14:textId="77777777" w:rsidR="00902C72" w:rsidRPr="00483DCD" w:rsidRDefault="00902C72" w:rsidP="00DE004A">
            <w:pPr>
              <w:jc w:val="both"/>
            </w:pPr>
            <w:r w:rsidRPr="00483DCD">
              <w:t>Teritorijoje per metus vidutiniškai užregistruojama apie 25,6 proc. visų Klaipėdos mieste įvykdomų nusikaltimų. Analizuojant pačių pavojingiausių nusikaltimų (žmogaus gyvybei ir sveikatai) statistiką, pastebimas akivaizdus situacijos blogėjimas Rumpiškės mikrorajone, kur senesni būstai ir stebima silpnesnio socialinio sluoksnio koncentracija</w:t>
            </w:r>
          </w:p>
        </w:tc>
      </w:tr>
      <w:tr w:rsidR="00902C72" w:rsidRPr="00483DCD" w14:paraId="3646C593"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8C" w14:textId="77777777" w:rsidR="00902C72" w:rsidRPr="00483DCD" w:rsidRDefault="00902C72" w:rsidP="00DE004A">
            <w:pPr>
              <w:jc w:val="center"/>
            </w:pPr>
            <w:r w:rsidRPr="00483DCD">
              <w:t>3.</w:t>
            </w:r>
          </w:p>
        </w:tc>
        <w:tc>
          <w:tcPr>
            <w:tcW w:w="2189" w:type="dxa"/>
            <w:tcBorders>
              <w:top w:val="single" w:sz="4" w:space="0" w:color="auto"/>
              <w:left w:val="single" w:sz="4" w:space="0" w:color="auto"/>
              <w:bottom w:val="single" w:sz="4" w:space="0" w:color="auto"/>
              <w:right w:val="single" w:sz="4" w:space="0" w:color="auto"/>
            </w:tcBorders>
            <w:hideMark/>
          </w:tcPr>
          <w:p w14:paraId="3646C58D" w14:textId="77777777" w:rsidR="00902C72" w:rsidRPr="00483DCD" w:rsidRDefault="00902C72" w:rsidP="00DE004A">
            <w:pPr>
              <w:jc w:val="both"/>
            </w:pPr>
            <w:r w:rsidRPr="00483DCD">
              <w:t xml:space="preserve">Aplinkos tarša </w:t>
            </w:r>
          </w:p>
        </w:tc>
        <w:tc>
          <w:tcPr>
            <w:tcW w:w="1417" w:type="dxa"/>
            <w:tcBorders>
              <w:top w:val="single" w:sz="4" w:space="0" w:color="auto"/>
              <w:left w:val="single" w:sz="4" w:space="0" w:color="auto"/>
              <w:bottom w:val="single" w:sz="4" w:space="0" w:color="auto"/>
              <w:right w:val="single" w:sz="4" w:space="0" w:color="auto"/>
            </w:tcBorders>
            <w:hideMark/>
          </w:tcPr>
          <w:p w14:paraId="3646C58E" w14:textId="77777777" w:rsidR="00902C72" w:rsidRPr="00483DCD" w:rsidRDefault="00902C72" w:rsidP="00DE004A">
            <w:pPr>
              <w:jc w:val="center"/>
            </w:pPr>
            <w:r w:rsidRPr="00483DCD">
              <w:t>4</w:t>
            </w:r>
          </w:p>
        </w:tc>
        <w:tc>
          <w:tcPr>
            <w:tcW w:w="10490" w:type="dxa"/>
            <w:tcBorders>
              <w:top w:val="single" w:sz="4" w:space="0" w:color="auto"/>
              <w:left w:val="single" w:sz="4" w:space="0" w:color="auto"/>
              <w:bottom w:val="single" w:sz="4" w:space="0" w:color="auto"/>
              <w:right w:val="single" w:sz="4" w:space="0" w:color="auto"/>
            </w:tcBorders>
            <w:hideMark/>
          </w:tcPr>
          <w:p w14:paraId="3646C58F" w14:textId="77777777" w:rsidR="00902C72" w:rsidRPr="00483DCD" w:rsidRDefault="00902C72" w:rsidP="00DE004A">
            <w:pPr>
              <w:pStyle w:val="Default"/>
              <w:jc w:val="both"/>
              <w:rPr>
                <w:lang w:val="lt-LT"/>
              </w:rPr>
            </w:pPr>
            <w:r w:rsidRPr="00483DCD">
              <w:rPr>
                <w:lang w:val="lt-LT"/>
              </w:rPr>
              <w:t>Oro tarša smulkiosiomis kietosiomis dalelėmis yra didžiausia Lietuvos miestų oro kokybės problema. Didelis taršos šaltinis kietosiomis dalelėmis yra ir motorinis transportas, kai tarša keliama dylant stabdžių kaladėlėms ir kelių dangai, ypač kai naudojamos dygliuotos padangos šaltuoju metų laiku. Taip pat teršiama aplinka įsivyravus sausiems orams, o ypač daug kietųjų dalelių į orą patenka nuo tinkamai nenuvalytų gatvių. Pasirinkta teritorija yra tarp arterinių miesto gatvių, kur transporto srautai ypač dideli.</w:t>
            </w:r>
          </w:p>
          <w:p w14:paraId="3646C590" w14:textId="7DD5D059" w:rsidR="00902C72" w:rsidRPr="00483DCD" w:rsidRDefault="00902C72" w:rsidP="00DE004A">
            <w:pPr>
              <w:tabs>
                <w:tab w:val="left" w:pos="540"/>
              </w:tabs>
              <w:jc w:val="both"/>
            </w:pPr>
            <w:r w:rsidRPr="00483DCD">
              <w:t>Didėjant miesto susisiekimo sistemos eismo srautų intensyvumui, eismo įvykių skaičiui, būtina skirti daugiau dėmesio saugaus eism</w:t>
            </w:r>
            <w:r w:rsidR="00483DCD">
              <w:t>ui</w:t>
            </w:r>
            <w:r w:rsidRPr="00483DCD">
              <w:t xml:space="preserve"> užtikrin</w:t>
            </w:r>
            <w:r w:rsidR="00483DCD">
              <w:t>t</w:t>
            </w:r>
            <w:r w:rsidRPr="00483DCD">
              <w:t xml:space="preserve">i, įdiegti efektyvų srautų valdymą užtikrinančias informacinių technologijų sistemas. Transporto srautų sureguliavimas, rekonstravus žiedines sankryžas, pastačius naują gatvę su tiltu, įdiegus žaliosios bangos principą ne tik užtikrins saugesnes eismo sąlygas, bet ir </w:t>
            </w:r>
            <w:r w:rsidRPr="00483DCD">
              <w:rPr>
                <w:bCs/>
                <w:lang w:eastAsia="lt-LT"/>
              </w:rPr>
              <w:t>sumažins teritorijos oro taršą</w:t>
            </w:r>
            <w:r w:rsidRPr="00483DCD">
              <w:rPr>
                <w:bCs/>
                <w:vertAlign w:val="subscript"/>
                <w:lang w:eastAsia="lt-LT"/>
              </w:rPr>
              <w:t xml:space="preserve">, </w:t>
            </w:r>
            <w:r w:rsidRPr="00483DCD">
              <w:rPr>
                <w:bCs/>
                <w:lang w:eastAsia="lt-LT"/>
              </w:rPr>
              <w:t>kietosiomis dalelėmis ir CO</w:t>
            </w:r>
            <w:r w:rsidRPr="00483DCD">
              <w:rPr>
                <w:bCs/>
                <w:vertAlign w:val="subscript"/>
                <w:lang w:eastAsia="lt-LT"/>
              </w:rPr>
              <w:t xml:space="preserve">2 </w:t>
            </w:r>
            <w:r w:rsidRPr="00483DCD">
              <w:rPr>
                <w:bCs/>
                <w:lang w:eastAsia="lt-LT"/>
              </w:rPr>
              <w:t xml:space="preserve">išmetimus </w:t>
            </w:r>
          </w:p>
          <w:p w14:paraId="3646C591" w14:textId="77777777" w:rsidR="00902C72" w:rsidRPr="00483DCD" w:rsidRDefault="00902C72" w:rsidP="00DE004A">
            <w:pPr>
              <w:tabs>
                <w:tab w:val="left" w:pos="540"/>
              </w:tabs>
              <w:jc w:val="both"/>
            </w:pPr>
            <w:r w:rsidRPr="00483DCD">
              <w:t>Trinyčių tvenkinyje yra didelis dumblo užterštumas naftos produktais: įtekėjimo į tvenkinį dalyje būtina įrengti naftos gaudyklę.</w:t>
            </w:r>
          </w:p>
          <w:p w14:paraId="3646C592" w14:textId="77777777" w:rsidR="00902C72" w:rsidRPr="00483DCD" w:rsidRDefault="00902C72" w:rsidP="00DE004A">
            <w:pPr>
              <w:tabs>
                <w:tab w:val="left" w:pos="540"/>
              </w:tabs>
              <w:jc w:val="both"/>
            </w:pPr>
            <w:r w:rsidRPr="00483DCD">
              <w:t xml:space="preserve">Teritorijos viešosios erdvės ir parkai apleisti, morališkai ir fiziškai nusidėvėję. Didžiąją dalį teritorijos visuomeninės paskirties pastatų būtina modernizuoti. Gyvenamųjų namų statybos metų vidurkis – 1960 m. </w:t>
            </w:r>
            <w:r w:rsidRPr="00483DCD">
              <w:lastRenderedPageBreak/>
              <w:t>(neskaičiuojant senamiesčio dalies), pastatai nerenovuoti, gyvenamųjų namų kiemai nusidėvėję, nepritaikyti gyventojų poreikiams</w:t>
            </w:r>
          </w:p>
        </w:tc>
      </w:tr>
    </w:tbl>
    <w:p w14:paraId="3646C594" w14:textId="77777777" w:rsidR="00902C72" w:rsidRPr="00483DCD" w:rsidRDefault="00902C72" w:rsidP="00DE004A">
      <w:pPr>
        <w:jc w:val="center"/>
      </w:pPr>
    </w:p>
    <w:tbl>
      <w:tblPr>
        <w:tblW w:w="146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89"/>
        <w:gridCol w:w="1417"/>
        <w:gridCol w:w="10490"/>
      </w:tblGrid>
      <w:tr w:rsidR="00902C72" w:rsidRPr="00483DCD" w14:paraId="3646C599" w14:textId="77777777" w:rsidTr="00902C72">
        <w:trPr>
          <w:trHeight w:val="447"/>
        </w:trPr>
        <w:tc>
          <w:tcPr>
            <w:tcW w:w="570" w:type="dxa"/>
            <w:tcBorders>
              <w:top w:val="single" w:sz="4" w:space="0" w:color="auto"/>
              <w:left w:val="single" w:sz="4" w:space="0" w:color="auto"/>
              <w:bottom w:val="single" w:sz="4" w:space="0" w:color="auto"/>
              <w:right w:val="single" w:sz="4" w:space="0" w:color="auto"/>
            </w:tcBorders>
            <w:hideMark/>
          </w:tcPr>
          <w:p w14:paraId="3646C595" w14:textId="77777777" w:rsidR="00902C72" w:rsidRPr="00483DCD" w:rsidRDefault="00902C72" w:rsidP="00DE004A">
            <w:pPr>
              <w:jc w:val="center"/>
              <w:rPr>
                <w:b/>
              </w:rPr>
            </w:pPr>
            <w:r w:rsidRPr="00483DCD">
              <w:rPr>
                <w:b/>
              </w:rPr>
              <w:t xml:space="preserve">Eil. Nr. </w:t>
            </w:r>
          </w:p>
        </w:tc>
        <w:tc>
          <w:tcPr>
            <w:tcW w:w="2189" w:type="dxa"/>
            <w:tcBorders>
              <w:top w:val="single" w:sz="4" w:space="0" w:color="auto"/>
              <w:left w:val="single" w:sz="4" w:space="0" w:color="auto"/>
              <w:bottom w:val="single" w:sz="4" w:space="0" w:color="auto"/>
              <w:right w:val="single" w:sz="4" w:space="0" w:color="auto"/>
            </w:tcBorders>
            <w:hideMark/>
          </w:tcPr>
          <w:p w14:paraId="3646C596" w14:textId="77777777" w:rsidR="00902C72" w:rsidRPr="00483DCD" w:rsidRDefault="00902C72" w:rsidP="00DE004A">
            <w:pPr>
              <w:jc w:val="center"/>
              <w:rPr>
                <w:b/>
              </w:rPr>
            </w:pPr>
            <w:r w:rsidRPr="00483DCD">
              <w:rPr>
                <w:b/>
              </w:rPr>
              <w:t>Galimybės</w:t>
            </w:r>
          </w:p>
        </w:tc>
        <w:tc>
          <w:tcPr>
            <w:tcW w:w="1417" w:type="dxa"/>
            <w:tcBorders>
              <w:top w:val="single" w:sz="4" w:space="0" w:color="auto"/>
              <w:left w:val="single" w:sz="4" w:space="0" w:color="auto"/>
              <w:bottom w:val="single" w:sz="4" w:space="0" w:color="auto"/>
              <w:right w:val="single" w:sz="4" w:space="0" w:color="auto"/>
            </w:tcBorders>
            <w:hideMark/>
          </w:tcPr>
          <w:p w14:paraId="3646C597" w14:textId="77777777" w:rsidR="00902C72" w:rsidRPr="00483DCD" w:rsidRDefault="00902C72" w:rsidP="00DE004A">
            <w:pPr>
              <w:jc w:val="center"/>
              <w:rPr>
                <w:b/>
              </w:rPr>
            </w:pPr>
            <w:r w:rsidRPr="00483DCD">
              <w:rPr>
                <w:b/>
              </w:rPr>
              <w:t xml:space="preserve">Įvertinimas </w:t>
            </w:r>
          </w:p>
        </w:tc>
        <w:tc>
          <w:tcPr>
            <w:tcW w:w="10490" w:type="dxa"/>
            <w:tcBorders>
              <w:top w:val="single" w:sz="4" w:space="0" w:color="auto"/>
              <w:left w:val="single" w:sz="4" w:space="0" w:color="auto"/>
              <w:bottom w:val="single" w:sz="4" w:space="0" w:color="auto"/>
              <w:right w:val="single" w:sz="4" w:space="0" w:color="auto"/>
            </w:tcBorders>
            <w:hideMark/>
          </w:tcPr>
          <w:p w14:paraId="3646C598" w14:textId="77777777" w:rsidR="00902C72" w:rsidRPr="00483DCD" w:rsidRDefault="00902C72" w:rsidP="00DE004A">
            <w:pPr>
              <w:jc w:val="center"/>
              <w:rPr>
                <w:b/>
              </w:rPr>
            </w:pPr>
            <w:r w:rsidRPr="00483DCD">
              <w:rPr>
                <w:b/>
              </w:rPr>
              <w:t>Suteiktą įvertinimą pagrindžianti informacija, prielaidos</w:t>
            </w:r>
          </w:p>
        </w:tc>
      </w:tr>
      <w:tr w:rsidR="00902C72" w:rsidRPr="00483DCD" w14:paraId="3646C5A3"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9A" w14:textId="77777777" w:rsidR="00902C72" w:rsidRPr="00483DCD" w:rsidRDefault="00902C72" w:rsidP="00DE004A">
            <w:pPr>
              <w:jc w:val="center"/>
            </w:pPr>
            <w:r w:rsidRPr="00483DCD">
              <w:t>1.</w:t>
            </w:r>
          </w:p>
        </w:tc>
        <w:tc>
          <w:tcPr>
            <w:tcW w:w="2189" w:type="dxa"/>
            <w:tcBorders>
              <w:top w:val="single" w:sz="4" w:space="0" w:color="auto"/>
              <w:left w:val="single" w:sz="4" w:space="0" w:color="auto"/>
              <w:bottom w:val="single" w:sz="4" w:space="0" w:color="auto"/>
              <w:right w:val="single" w:sz="4" w:space="0" w:color="auto"/>
            </w:tcBorders>
            <w:hideMark/>
          </w:tcPr>
          <w:p w14:paraId="3646C59B" w14:textId="77777777" w:rsidR="00902C72" w:rsidRPr="00483DCD" w:rsidRDefault="00902C72" w:rsidP="00DE004A">
            <w:r w:rsidRPr="00483DCD">
              <w:t>Klaipėdos valstybinio jūrų uosto potencialas</w:t>
            </w:r>
          </w:p>
        </w:tc>
        <w:tc>
          <w:tcPr>
            <w:tcW w:w="1417" w:type="dxa"/>
            <w:tcBorders>
              <w:top w:val="single" w:sz="4" w:space="0" w:color="auto"/>
              <w:left w:val="single" w:sz="4" w:space="0" w:color="auto"/>
              <w:bottom w:val="single" w:sz="4" w:space="0" w:color="auto"/>
              <w:right w:val="single" w:sz="4" w:space="0" w:color="auto"/>
            </w:tcBorders>
            <w:hideMark/>
          </w:tcPr>
          <w:p w14:paraId="3646C59C" w14:textId="77777777" w:rsidR="00902C72" w:rsidRPr="00483DCD" w:rsidRDefault="00902C72" w:rsidP="00DE004A">
            <w:pPr>
              <w:jc w:val="center"/>
            </w:pPr>
            <w:r w:rsidRPr="00483DCD">
              <w:t>5</w:t>
            </w:r>
          </w:p>
        </w:tc>
        <w:tc>
          <w:tcPr>
            <w:tcW w:w="10490" w:type="dxa"/>
            <w:tcBorders>
              <w:top w:val="single" w:sz="4" w:space="0" w:color="auto"/>
              <w:left w:val="single" w:sz="4" w:space="0" w:color="auto"/>
              <w:bottom w:val="single" w:sz="4" w:space="0" w:color="auto"/>
              <w:right w:val="single" w:sz="4" w:space="0" w:color="auto"/>
            </w:tcBorders>
            <w:hideMark/>
          </w:tcPr>
          <w:p w14:paraId="3646C59D" w14:textId="77777777" w:rsidR="00902C72" w:rsidRPr="00483DCD" w:rsidRDefault="00902C72" w:rsidP="00DE004A">
            <w:pPr>
              <w:jc w:val="both"/>
            </w:pPr>
            <w:r w:rsidRPr="00483DCD">
              <w:t xml:space="preserve">Didžiausia Klaipėdos miesto ir regiono įmonė – Klaipėdos valstybinis jūrų uostas, kuris daro didžiausią įtaką Klaipėdos miesto ir regiono ekonomikai. Klaipėdos miesto ekonominės sėkmės didelė dalis priklauso nuo uosto veiklos. Uoste auga kruizinės laivybos mastai. Tai palankiai veikia turistų srautus mieste, gerina miesto ekonominę situaciją. </w:t>
            </w:r>
          </w:p>
          <w:p w14:paraId="3646C59E" w14:textId="01337DA0" w:rsidR="00902C72" w:rsidRPr="00483DCD" w:rsidRDefault="00902C72" w:rsidP="00DE004A">
            <w:pPr>
              <w:jc w:val="both"/>
            </w:pPr>
            <w:r w:rsidRPr="00483DCD">
              <w:t xml:space="preserve">Klaipėdos uoste 2013 m. pasiektos didžiausios uosto istorijoje investicijos į uosto infrastruktūrą: preliminariais duomenimis, investuota per 330 mln. </w:t>
            </w:r>
            <w:r w:rsidR="00483DCD" w:rsidRPr="00483DCD">
              <w:t>L</w:t>
            </w:r>
            <w:r w:rsidRPr="00483DCD">
              <w:t xml:space="preserve">itų. </w:t>
            </w:r>
          </w:p>
          <w:p w14:paraId="3646C59F" w14:textId="6425C6D8" w:rsidR="00902C72" w:rsidRPr="00483DCD" w:rsidRDefault="00902C72" w:rsidP="00DE004A">
            <w:pPr>
              <w:jc w:val="both"/>
            </w:pPr>
            <w:r w:rsidRPr="00483DCD">
              <w:t xml:space="preserve">2013 m. sausio–gruodžio mėn. Klaipėdos uoste krauta 33,32 mln. </w:t>
            </w:r>
            <w:r w:rsidR="00892179">
              <w:t>t</w:t>
            </w:r>
            <w:r w:rsidRPr="00483DCD">
              <w:t xml:space="preserve"> jūrinių krovinių. Nors tai – 5,4 proc. (arba 1,92 mln. </w:t>
            </w:r>
            <w:r w:rsidR="00892179">
              <w:t>t</w:t>
            </w:r>
            <w:r w:rsidRPr="00483DCD">
              <w:t>) mažiau nei 2012 metais, ilgalaikės krovos tendencijos rodo augimą – šis krovos rezultatas trečiasis Klaipėdos uosto istorijoje.</w:t>
            </w:r>
          </w:p>
          <w:p w14:paraId="3646C5A0" w14:textId="700E31F9" w:rsidR="00902C72" w:rsidRPr="00483DCD" w:rsidRDefault="00902C72" w:rsidP="00DE004A">
            <w:pPr>
              <w:jc w:val="both"/>
            </w:pPr>
            <w:r w:rsidRPr="00483DCD">
              <w:rPr>
                <w:i/>
              </w:rPr>
              <w:t>Konteinerių krova</w:t>
            </w:r>
            <w:r w:rsidRPr="00483DCD">
              <w:t xml:space="preserve">. Ji sudaro 13,7 proc. bendros uosto krovos ir 2013 metais stabiliai didėjo: krauta 4,56 mln. </w:t>
            </w:r>
            <w:r w:rsidR="00892179">
              <w:t>t</w:t>
            </w:r>
            <w:r w:rsidRPr="00483DCD">
              <w:t xml:space="preserve">, t. y. 4,6 proc. daugiau nei 2012 m. </w:t>
            </w:r>
          </w:p>
          <w:p w14:paraId="3646C5A1" w14:textId="72B39CCB" w:rsidR="00902C72" w:rsidRPr="00483DCD" w:rsidRDefault="00902C72" w:rsidP="00DE004A">
            <w:pPr>
              <w:jc w:val="both"/>
              <w:rPr>
                <w:i/>
              </w:rPr>
            </w:pPr>
            <w:r w:rsidRPr="00483DCD">
              <w:rPr>
                <w:i/>
              </w:rPr>
              <w:t xml:space="preserve">Trąšos. </w:t>
            </w:r>
            <w:r w:rsidRPr="00483DCD">
              <w:t xml:space="preserve">2013 m. sausio–gruodžio mėn. Klaipėdos uoste krauta 8,52 mln. </w:t>
            </w:r>
            <w:r w:rsidR="00892179">
              <w:t>t</w:t>
            </w:r>
            <w:r w:rsidRPr="00483DCD">
              <w:t xml:space="preserve"> trąšų. 2013 m. krova nuo 2012 m. atsilieka 12,4 proc. arba 1,21 mln. </w:t>
            </w:r>
            <w:r w:rsidR="00892179">
              <w:t>t</w:t>
            </w:r>
            <w:r w:rsidRPr="00483DCD">
              <w:t>. Nors ir sumažėjęs, minėtas krovinys uoste išlieka gausiausias –trąšos sudaro 25,6 proc. bendros krovinių apyvartos.</w:t>
            </w:r>
          </w:p>
          <w:p w14:paraId="3646C5A2" w14:textId="3FA83D76" w:rsidR="00902C72" w:rsidRPr="00483DCD" w:rsidRDefault="00902C72" w:rsidP="00892179">
            <w:pPr>
              <w:jc w:val="both"/>
            </w:pPr>
            <w:r w:rsidRPr="00483DCD">
              <w:rPr>
                <w:i/>
              </w:rPr>
              <w:t xml:space="preserve">Naftos produktai. </w:t>
            </w:r>
            <w:r w:rsidRPr="00483DCD">
              <w:t>Palyginti su 2012 m., krova sumažėjo 14,4 proc.</w:t>
            </w:r>
            <w:r w:rsidRPr="00483DCD">
              <w:rPr>
                <w:i/>
              </w:rPr>
              <w:t xml:space="preserve"> </w:t>
            </w:r>
            <w:r w:rsidRPr="00483DCD">
              <w:t xml:space="preserve">(2012 m. 8,26 mln. </w:t>
            </w:r>
            <w:r w:rsidR="00892179">
              <w:t>t</w:t>
            </w:r>
            <w:r w:rsidRPr="00483DCD">
              <w:t xml:space="preserve">, 2013 m. 7,07 mln. </w:t>
            </w:r>
            <w:r w:rsidR="00892179">
              <w:t>t</w:t>
            </w:r>
            <w:r w:rsidRPr="00483DCD">
              <w:t xml:space="preserve">). 2014 metų sausio–rugsėjo mėnesiais Klaipėdos uosto krovos apyvarta augo 5,2 proc. Iš viso krauta 26,4 mln. </w:t>
            </w:r>
            <w:r w:rsidR="00892179">
              <w:t>t</w:t>
            </w:r>
            <w:r w:rsidRPr="00483DCD">
              <w:t xml:space="preserve">onų, o tai yra 1,3 mln. </w:t>
            </w:r>
            <w:r w:rsidR="00892179">
              <w:t>t</w:t>
            </w:r>
            <w:r w:rsidRPr="00483DCD">
              <w:t>onų daugiau nei tuo pačiu laikotarpiu pernai. Tokį Klaipėdos uosto krovos augimą labiausiai lėmė net 40,9 proc. išaugusi skystųjų ir biriųjų (palaidų ir pakuotų) trąšų krova</w:t>
            </w:r>
          </w:p>
        </w:tc>
      </w:tr>
      <w:tr w:rsidR="00902C72" w:rsidRPr="00483DCD" w14:paraId="3646C5A9" w14:textId="77777777" w:rsidTr="00902C72">
        <w:tc>
          <w:tcPr>
            <w:tcW w:w="570" w:type="dxa"/>
            <w:tcBorders>
              <w:top w:val="single" w:sz="4" w:space="0" w:color="auto"/>
              <w:left w:val="single" w:sz="4" w:space="0" w:color="auto"/>
              <w:bottom w:val="single" w:sz="4" w:space="0" w:color="auto"/>
              <w:right w:val="single" w:sz="4" w:space="0" w:color="auto"/>
            </w:tcBorders>
          </w:tcPr>
          <w:p w14:paraId="3646C5A4" w14:textId="77777777" w:rsidR="00902C72" w:rsidRPr="00483DCD" w:rsidRDefault="00902C72" w:rsidP="00DE004A">
            <w:pPr>
              <w:jc w:val="center"/>
            </w:pPr>
            <w:r w:rsidRPr="00483DCD">
              <w:t>2.</w:t>
            </w:r>
          </w:p>
          <w:p w14:paraId="3646C5A5" w14:textId="77777777" w:rsidR="00902C72" w:rsidRPr="00483DCD" w:rsidRDefault="00902C72" w:rsidP="00DE004A">
            <w:pPr>
              <w:jc w:val="both"/>
            </w:pPr>
          </w:p>
        </w:tc>
        <w:tc>
          <w:tcPr>
            <w:tcW w:w="2189" w:type="dxa"/>
            <w:tcBorders>
              <w:top w:val="single" w:sz="4" w:space="0" w:color="auto"/>
              <w:left w:val="single" w:sz="4" w:space="0" w:color="auto"/>
              <w:bottom w:val="single" w:sz="4" w:space="0" w:color="auto"/>
              <w:right w:val="single" w:sz="4" w:space="0" w:color="auto"/>
            </w:tcBorders>
            <w:hideMark/>
          </w:tcPr>
          <w:p w14:paraId="3646C5A6" w14:textId="77777777" w:rsidR="00902C72" w:rsidRPr="00483DCD" w:rsidRDefault="00902C72" w:rsidP="00DE004A">
            <w:r w:rsidRPr="00483DCD">
              <w:t>LEZ plėtra</w:t>
            </w:r>
          </w:p>
        </w:tc>
        <w:tc>
          <w:tcPr>
            <w:tcW w:w="1417" w:type="dxa"/>
            <w:tcBorders>
              <w:top w:val="single" w:sz="4" w:space="0" w:color="auto"/>
              <w:left w:val="single" w:sz="4" w:space="0" w:color="auto"/>
              <w:bottom w:val="single" w:sz="4" w:space="0" w:color="auto"/>
              <w:right w:val="single" w:sz="4" w:space="0" w:color="auto"/>
            </w:tcBorders>
            <w:hideMark/>
          </w:tcPr>
          <w:p w14:paraId="3646C5A7" w14:textId="77777777" w:rsidR="00902C72" w:rsidRPr="00483DCD" w:rsidRDefault="00902C72" w:rsidP="00DE004A">
            <w:pPr>
              <w:jc w:val="center"/>
            </w:pPr>
            <w:r w:rsidRPr="00483DCD">
              <w:t>4</w:t>
            </w:r>
          </w:p>
        </w:tc>
        <w:tc>
          <w:tcPr>
            <w:tcW w:w="10490" w:type="dxa"/>
            <w:tcBorders>
              <w:top w:val="single" w:sz="4" w:space="0" w:color="auto"/>
              <w:left w:val="single" w:sz="4" w:space="0" w:color="auto"/>
              <w:bottom w:val="single" w:sz="4" w:space="0" w:color="auto"/>
              <w:right w:val="single" w:sz="4" w:space="0" w:color="auto"/>
            </w:tcBorders>
            <w:hideMark/>
          </w:tcPr>
          <w:p w14:paraId="3646C5A8" w14:textId="1C75857C" w:rsidR="00902C72" w:rsidRPr="00483DCD" w:rsidRDefault="00902C72" w:rsidP="00FB222D">
            <w:pPr>
              <w:jc w:val="both"/>
            </w:pPr>
            <w:r w:rsidRPr="00483DCD">
              <w:t xml:space="preserve">Klaipėdos LEZ plėtojama logistikos ir sandėliavimo, metalo apdirbimo, žuvies ir jų produktų perdirbimo veikla, plastiko pakuočių ir plastiko granulių (PET), elektronikos prietaisų, plieno konstrukcijų, architektūrinio stiklo, maisto pakuočių, biodyzelino, energijos iš atsinaujinančių šaltinių gamyba. Nuo LEZ veiklos pradžios teritorijoje investuota apie 1,8 mlrd. </w:t>
            </w:r>
            <w:r w:rsidR="00FB222D">
              <w:t>l</w:t>
            </w:r>
            <w:r w:rsidRPr="00483DCD">
              <w:t xml:space="preserve">itų, sukuriama apie 2,8 proc. Lietuvos nacionalinio produkto ir apie 5 proc. eksporto, sukurta per 1800 darbo vietų. 2013 metais bendra LEZ įmonių metų apyvarta siekė 3,08 mlrd. </w:t>
            </w:r>
            <w:r w:rsidR="00FB222D">
              <w:t>l</w:t>
            </w:r>
            <w:r w:rsidRPr="00483DCD">
              <w:t xml:space="preserve">itų, eksportas – 2,5 mlrd. </w:t>
            </w:r>
            <w:r w:rsidR="00FB222D">
              <w:t>l</w:t>
            </w:r>
            <w:r w:rsidRPr="00483DCD">
              <w:t xml:space="preserve">itų. Sutartis dėl veiklos zonoje jau pasirašė 28 užsienio ir lietuviško kapitalo įmonės, iš kurių 19 jau vykdo veiklą </w:t>
            </w:r>
          </w:p>
        </w:tc>
      </w:tr>
      <w:tr w:rsidR="00902C72" w:rsidRPr="00483DCD" w14:paraId="3646C5AF"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AA" w14:textId="77777777" w:rsidR="00902C72" w:rsidRPr="00483DCD" w:rsidRDefault="00902C72" w:rsidP="00DE004A">
            <w:pPr>
              <w:jc w:val="center"/>
            </w:pPr>
            <w:r w:rsidRPr="00483DCD">
              <w:t>3.</w:t>
            </w:r>
          </w:p>
        </w:tc>
        <w:tc>
          <w:tcPr>
            <w:tcW w:w="2189" w:type="dxa"/>
            <w:tcBorders>
              <w:top w:val="single" w:sz="4" w:space="0" w:color="auto"/>
              <w:left w:val="single" w:sz="4" w:space="0" w:color="auto"/>
              <w:bottom w:val="single" w:sz="4" w:space="0" w:color="auto"/>
              <w:right w:val="single" w:sz="4" w:space="0" w:color="auto"/>
            </w:tcBorders>
            <w:hideMark/>
          </w:tcPr>
          <w:p w14:paraId="3646C5AB" w14:textId="77777777" w:rsidR="00902C72" w:rsidRPr="00483DCD" w:rsidRDefault="00902C72" w:rsidP="00DE004A">
            <w:r w:rsidRPr="00483DCD">
              <w:t xml:space="preserve">Mokymosi visą gyvenimą principo propagavimas (povidurinio </w:t>
            </w:r>
            <w:r w:rsidRPr="00483DCD">
              <w:lastRenderedPageBreak/>
              <w:t>mokymo įstaigų (profesinių mokyklų, kolegijų, universitetų) kokybiniai pokyčiai bei plėtra)</w:t>
            </w:r>
          </w:p>
        </w:tc>
        <w:tc>
          <w:tcPr>
            <w:tcW w:w="1417" w:type="dxa"/>
            <w:tcBorders>
              <w:top w:val="single" w:sz="4" w:space="0" w:color="auto"/>
              <w:left w:val="single" w:sz="4" w:space="0" w:color="auto"/>
              <w:bottom w:val="single" w:sz="4" w:space="0" w:color="auto"/>
              <w:right w:val="single" w:sz="4" w:space="0" w:color="auto"/>
            </w:tcBorders>
            <w:hideMark/>
          </w:tcPr>
          <w:p w14:paraId="3646C5AC" w14:textId="77777777" w:rsidR="00902C72" w:rsidRPr="00483DCD" w:rsidRDefault="00902C72" w:rsidP="00DE004A">
            <w:pPr>
              <w:jc w:val="center"/>
            </w:pPr>
            <w:r w:rsidRPr="00483DCD">
              <w:lastRenderedPageBreak/>
              <w:t>3</w:t>
            </w:r>
          </w:p>
        </w:tc>
        <w:tc>
          <w:tcPr>
            <w:tcW w:w="10490" w:type="dxa"/>
            <w:tcBorders>
              <w:top w:val="single" w:sz="4" w:space="0" w:color="auto"/>
              <w:left w:val="single" w:sz="4" w:space="0" w:color="auto"/>
              <w:bottom w:val="single" w:sz="4" w:space="0" w:color="auto"/>
              <w:right w:val="single" w:sz="4" w:space="0" w:color="auto"/>
            </w:tcBorders>
            <w:hideMark/>
          </w:tcPr>
          <w:p w14:paraId="3646C5AD" w14:textId="0C91D24B" w:rsidR="00902C72" w:rsidRPr="00483DCD" w:rsidRDefault="00902C72" w:rsidP="00DE004A">
            <w:pPr>
              <w:jc w:val="both"/>
            </w:pPr>
            <w:r w:rsidRPr="00483DCD">
              <w:t xml:space="preserve">2013–2014 mokslo metų pradžioje Klaipėdoje buvo 7 profesinio mokymo įstaigos, 7 aukštosios mokyklos – 5 kolegijos ir 2 universitetai, kuriose studijavo daugiau nei 13 tūkst. </w:t>
            </w:r>
            <w:r w:rsidR="0023298C">
              <w:t>s</w:t>
            </w:r>
            <w:r w:rsidRPr="00483DCD">
              <w:t xml:space="preserve">tudentų. </w:t>
            </w:r>
          </w:p>
          <w:p w14:paraId="3646C5AE" w14:textId="3FA1FF9F" w:rsidR="00902C72" w:rsidRPr="00483DCD" w:rsidRDefault="00902C72" w:rsidP="00493B18">
            <w:pPr>
              <w:jc w:val="both"/>
            </w:pPr>
            <w:r w:rsidRPr="00483DCD">
              <w:t xml:space="preserve">Klaipėdos profesinės mokyklos: Klaipėdos laivininkų mokykla (Rambyno g. 14) – apie 316 studentų, Klaipėdos laivų statybos ir remonto mokykla (Statybininkų </w:t>
            </w:r>
            <w:r w:rsidR="0023298C">
              <w:t>p</w:t>
            </w:r>
            <w:r w:rsidR="00483DCD">
              <w:t>r</w:t>
            </w:r>
            <w:r w:rsidRPr="00483DCD">
              <w:t xml:space="preserve">. 39) – apie 370 studentų, Klaipėdos paslaugų </w:t>
            </w:r>
            <w:r w:rsidRPr="00483DCD">
              <w:lastRenderedPageBreak/>
              <w:t xml:space="preserve">ir verslo mokykla (J. Janonio g. 13) – apie 1015 studentų, Klaipėdos siuvimo ir paslaugų verslo mokykla (Puodžių g. 10) – apie 616 studentų, Klaipėdos statybininkų mokykla (Taikos </w:t>
            </w:r>
            <w:r w:rsidR="00A43233">
              <w:t>p</w:t>
            </w:r>
            <w:r w:rsidR="00483DCD">
              <w:t>r</w:t>
            </w:r>
            <w:r w:rsidRPr="00483DCD">
              <w:t xml:space="preserve">. 67) – apie 328 studentai, Klaipėdos turizmo mokykla (Taikos </w:t>
            </w:r>
            <w:r w:rsidR="00A43233">
              <w:t>p</w:t>
            </w:r>
            <w:r w:rsidR="00483DCD">
              <w:t>r</w:t>
            </w:r>
            <w:r w:rsidRPr="00483DCD">
              <w:t>. 69) – apie 776 studentai. Kolegijos: Klaipėdos valstybinė kolegija (Jaunystės g. 1), Kl</w:t>
            </w:r>
            <w:r w:rsidR="00A43233">
              <w:t>aipėdos verslo aukštoji mokykla</w:t>
            </w:r>
            <w:r w:rsidRPr="00483DCD">
              <w:t xml:space="preserve"> (Tilžės g. 46A), Lietuvos aukštoji jūreivystės mokykla (I. Kanto g. 7), </w:t>
            </w:r>
            <w:r w:rsidR="00493B18">
              <w:t>VšĮ</w:t>
            </w:r>
            <w:r w:rsidRPr="00483DCD">
              <w:t xml:space="preserve"> Socialinių mokslų kolegija (Nemuno g. 2), </w:t>
            </w:r>
            <w:r w:rsidR="00493B18">
              <w:t>VšĮ</w:t>
            </w:r>
            <w:r w:rsidRPr="00483DCD">
              <w:t xml:space="preserve"> Vakarų Lietuvos verslo kolegija (Šilutės pl. 2); universitetai: Klaipėdos universitetas (Herkaus Manto g. 84) – apie 6000 studentų, </w:t>
            </w:r>
            <w:r w:rsidR="00493B18">
              <w:t>VšĮ</w:t>
            </w:r>
            <w:r w:rsidRPr="00483DCD">
              <w:t xml:space="preserve"> LCC tarptautinis universitetas (Kretingos g. 36) – apie 650 studentų</w:t>
            </w:r>
          </w:p>
        </w:tc>
      </w:tr>
    </w:tbl>
    <w:p w14:paraId="3646C5B0" w14:textId="77777777" w:rsidR="00902C72" w:rsidRPr="00483DCD" w:rsidRDefault="00902C72" w:rsidP="00DE004A">
      <w:pPr>
        <w:jc w:val="center"/>
      </w:pPr>
    </w:p>
    <w:tbl>
      <w:tblPr>
        <w:tblW w:w="146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89"/>
        <w:gridCol w:w="1417"/>
        <w:gridCol w:w="10490"/>
      </w:tblGrid>
      <w:tr w:rsidR="00902C72" w:rsidRPr="00483DCD" w14:paraId="3646C5B5" w14:textId="77777777" w:rsidTr="00902C72">
        <w:trPr>
          <w:trHeight w:val="421"/>
        </w:trPr>
        <w:tc>
          <w:tcPr>
            <w:tcW w:w="570" w:type="dxa"/>
            <w:tcBorders>
              <w:top w:val="single" w:sz="4" w:space="0" w:color="auto"/>
              <w:left w:val="single" w:sz="4" w:space="0" w:color="auto"/>
              <w:bottom w:val="single" w:sz="4" w:space="0" w:color="auto"/>
              <w:right w:val="single" w:sz="4" w:space="0" w:color="auto"/>
            </w:tcBorders>
            <w:hideMark/>
          </w:tcPr>
          <w:p w14:paraId="3646C5B1" w14:textId="77777777" w:rsidR="00902C72" w:rsidRPr="00483DCD" w:rsidRDefault="00902C72" w:rsidP="00DE004A">
            <w:pPr>
              <w:jc w:val="center"/>
              <w:rPr>
                <w:b/>
              </w:rPr>
            </w:pPr>
            <w:r w:rsidRPr="00483DCD">
              <w:rPr>
                <w:b/>
              </w:rPr>
              <w:t>Eil. Nr.</w:t>
            </w:r>
          </w:p>
        </w:tc>
        <w:tc>
          <w:tcPr>
            <w:tcW w:w="2189" w:type="dxa"/>
            <w:tcBorders>
              <w:top w:val="single" w:sz="4" w:space="0" w:color="auto"/>
              <w:left w:val="single" w:sz="4" w:space="0" w:color="auto"/>
              <w:bottom w:val="single" w:sz="4" w:space="0" w:color="auto"/>
              <w:right w:val="single" w:sz="4" w:space="0" w:color="auto"/>
            </w:tcBorders>
            <w:hideMark/>
          </w:tcPr>
          <w:p w14:paraId="3646C5B2" w14:textId="77777777" w:rsidR="00902C72" w:rsidRPr="00483DCD" w:rsidRDefault="00902C72" w:rsidP="00DE004A">
            <w:pPr>
              <w:jc w:val="center"/>
              <w:rPr>
                <w:b/>
              </w:rPr>
            </w:pPr>
            <w:r w:rsidRPr="00483DCD">
              <w:rPr>
                <w:b/>
              </w:rPr>
              <w:t>Grėsmės</w:t>
            </w:r>
          </w:p>
        </w:tc>
        <w:tc>
          <w:tcPr>
            <w:tcW w:w="1417" w:type="dxa"/>
            <w:tcBorders>
              <w:top w:val="single" w:sz="4" w:space="0" w:color="auto"/>
              <w:left w:val="single" w:sz="4" w:space="0" w:color="auto"/>
              <w:bottom w:val="single" w:sz="4" w:space="0" w:color="auto"/>
              <w:right w:val="single" w:sz="4" w:space="0" w:color="auto"/>
            </w:tcBorders>
            <w:hideMark/>
          </w:tcPr>
          <w:p w14:paraId="3646C5B3" w14:textId="77777777" w:rsidR="00902C72" w:rsidRPr="00483DCD" w:rsidRDefault="00902C72" w:rsidP="00DE004A">
            <w:pPr>
              <w:jc w:val="center"/>
              <w:rPr>
                <w:b/>
              </w:rPr>
            </w:pPr>
            <w:r w:rsidRPr="00483DCD">
              <w:rPr>
                <w:b/>
              </w:rPr>
              <w:t xml:space="preserve">Įvertinimas </w:t>
            </w:r>
          </w:p>
        </w:tc>
        <w:tc>
          <w:tcPr>
            <w:tcW w:w="10490" w:type="dxa"/>
            <w:tcBorders>
              <w:top w:val="single" w:sz="4" w:space="0" w:color="auto"/>
              <w:left w:val="single" w:sz="4" w:space="0" w:color="auto"/>
              <w:bottom w:val="single" w:sz="4" w:space="0" w:color="auto"/>
              <w:right w:val="single" w:sz="4" w:space="0" w:color="auto"/>
            </w:tcBorders>
          </w:tcPr>
          <w:p w14:paraId="3646C5B4" w14:textId="77777777" w:rsidR="00902C72" w:rsidRPr="00483DCD" w:rsidRDefault="00902C72" w:rsidP="00DE004A">
            <w:pPr>
              <w:jc w:val="center"/>
              <w:rPr>
                <w:b/>
              </w:rPr>
            </w:pPr>
          </w:p>
        </w:tc>
      </w:tr>
      <w:tr w:rsidR="00902C72" w:rsidRPr="00483DCD" w14:paraId="3646C5BB"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B6" w14:textId="77777777" w:rsidR="00902C72" w:rsidRPr="00483DCD" w:rsidRDefault="00902C72" w:rsidP="00DE004A">
            <w:pPr>
              <w:jc w:val="center"/>
            </w:pPr>
            <w:r w:rsidRPr="00483DCD">
              <w:t>1.</w:t>
            </w:r>
          </w:p>
        </w:tc>
        <w:tc>
          <w:tcPr>
            <w:tcW w:w="2189" w:type="dxa"/>
            <w:tcBorders>
              <w:top w:val="single" w:sz="4" w:space="0" w:color="auto"/>
              <w:left w:val="single" w:sz="4" w:space="0" w:color="auto"/>
              <w:bottom w:val="single" w:sz="4" w:space="0" w:color="auto"/>
              <w:right w:val="single" w:sz="4" w:space="0" w:color="auto"/>
            </w:tcBorders>
            <w:hideMark/>
          </w:tcPr>
          <w:p w14:paraId="3646C5B7" w14:textId="77777777" w:rsidR="00902C72" w:rsidRPr="00483DCD" w:rsidRDefault="00902C72" w:rsidP="00DE004A">
            <w:r w:rsidRPr="00483DCD">
              <w:t xml:space="preserve">Neigiami demografiniai pokyčiai </w:t>
            </w:r>
          </w:p>
        </w:tc>
        <w:tc>
          <w:tcPr>
            <w:tcW w:w="1417" w:type="dxa"/>
            <w:tcBorders>
              <w:top w:val="single" w:sz="4" w:space="0" w:color="auto"/>
              <w:left w:val="single" w:sz="4" w:space="0" w:color="auto"/>
              <w:bottom w:val="single" w:sz="4" w:space="0" w:color="auto"/>
              <w:right w:val="single" w:sz="4" w:space="0" w:color="auto"/>
            </w:tcBorders>
            <w:hideMark/>
          </w:tcPr>
          <w:p w14:paraId="3646C5B8" w14:textId="77777777" w:rsidR="00902C72" w:rsidRPr="00483DCD" w:rsidRDefault="00902C72" w:rsidP="00DE004A">
            <w:pPr>
              <w:jc w:val="center"/>
            </w:pPr>
            <w:r w:rsidRPr="00483DCD">
              <w:t>5</w:t>
            </w:r>
          </w:p>
        </w:tc>
        <w:tc>
          <w:tcPr>
            <w:tcW w:w="10490" w:type="dxa"/>
            <w:tcBorders>
              <w:top w:val="single" w:sz="4" w:space="0" w:color="auto"/>
              <w:left w:val="single" w:sz="4" w:space="0" w:color="auto"/>
              <w:bottom w:val="single" w:sz="4" w:space="0" w:color="auto"/>
              <w:right w:val="single" w:sz="4" w:space="0" w:color="auto"/>
            </w:tcBorders>
            <w:hideMark/>
          </w:tcPr>
          <w:p w14:paraId="3646C5B9" w14:textId="6503D9EE" w:rsidR="00902C72" w:rsidRPr="00483DCD" w:rsidRDefault="00902C72" w:rsidP="00DE004A">
            <w:pPr>
              <w:jc w:val="both"/>
            </w:pPr>
            <w:r w:rsidRPr="00483DCD">
              <w:t xml:space="preserve">2013 m. pradžioje Lietuvoje gyveno 2971,9 tūkst. </w:t>
            </w:r>
            <w:r w:rsidR="00607FCC">
              <w:t>a</w:t>
            </w:r>
            <w:r w:rsidRPr="00483DCD">
              <w:t xml:space="preserve">smenų. Pagrindinės priežastys, lėmusios spartų gyventojų skaičiaus mažėjimą, yra emigracija ir neigiama natūrali gyventojų kaita. 2007–2012 m. laikotarpiu išvykimą iš Lietuvos deklaravo 272,7 tūkst. </w:t>
            </w:r>
            <w:r w:rsidR="00607FCC">
              <w:t>g</w:t>
            </w:r>
            <w:r w:rsidRPr="00483DCD">
              <w:t>yventojų, iš kurių 46 proc. (125,8 tūkst.) priklausė 15–29 metų amžiaus grupei. Tokia emigracijos struktūra yra nepalanki Lietuvos darbo rinkai ir visai socialinės apsaugos sistemai. Lietuvos statistikos departamento duomenimis, 2013 metais Klaipėdos miesto savivaldybės gyventojų migracija pasiskirstė taip: atvyko – 4322, o išvyko – 5275 gyventojai.</w:t>
            </w:r>
          </w:p>
          <w:p w14:paraId="3646C5BA" w14:textId="77777777" w:rsidR="00902C72" w:rsidRPr="00483DCD" w:rsidRDefault="00902C72" w:rsidP="00DE004A">
            <w:pPr>
              <w:jc w:val="both"/>
            </w:pPr>
            <w:r w:rsidRPr="00483DCD">
              <w:t>Nuo 2007 m. vidutinis gyventojų amžius išaugo 2,3 metais – iki 40,9 meto (2012 m.), o 65 metų ir vyresnių gyventojų dalis padidėjo nuo 16,6 proc. iki 18 proc. (543,3 tūkst.). Palyginti su 2001 m. surašymo duomenimis, 2011 m. vaikų iki 15 metų skaičius sumažėjo 245,4 tūkst., arba 33,3 proc., ir jų dalis iš bendro gyventojų skaičiaus sumažėjo 5 procentiniais punktais, t. y. nuo 21,1 proc. iki 16,1 proc. Sparčiau vaikų mažėjo kaime – jų dalis iš bendro kaimo gyventojų skaičiaus sumažėjo nuo 22,8 proc. iki 15,7 proc. Prognozuojama, kad pagyvenusių išlaikomo amžiaus (vyresnių nei 65 metų) žmonių koeficientas, kuris 2012 m. siekė 26,9 (ES valstybių narių vidurkis – 26,8), ir toliau didės. 2007–2011 m. vidutinė tikėtina Lietuvos gyventojų gyvenimo trukmė padidėjo 2,8 metais, tačiau vis dar yra mažiausia tarp visų ES šalių gyventojų</w:t>
            </w:r>
          </w:p>
        </w:tc>
      </w:tr>
      <w:tr w:rsidR="00902C72" w:rsidRPr="00483DCD" w14:paraId="3646C5C2"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BC" w14:textId="77777777" w:rsidR="00902C72" w:rsidRPr="00483DCD" w:rsidRDefault="00902C72" w:rsidP="00DE004A">
            <w:pPr>
              <w:jc w:val="center"/>
            </w:pPr>
            <w:r w:rsidRPr="00483DCD">
              <w:t>2.</w:t>
            </w:r>
          </w:p>
        </w:tc>
        <w:tc>
          <w:tcPr>
            <w:tcW w:w="2189" w:type="dxa"/>
            <w:tcBorders>
              <w:top w:val="single" w:sz="4" w:space="0" w:color="auto"/>
              <w:left w:val="single" w:sz="4" w:space="0" w:color="auto"/>
              <w:bottom w:val="single" w:sz="4" w:space="0" w:color="auto"/>
              <w:right w:val="single" w:sz="4" w:space="0" w:color="auto"/>
            </w:tcBorders>
            <w:hideMark/>
          </w:tcPr>
          <w:p w14:paraId="3646C5BD" w14:textId="77777777" w:rsidR="00902C72" w:rsidRPr="00483DCD" w:rsidRDefault="00902C72" w:rsidP="00DE004A">
            <w:r w:rsidRPr="00483DCD">
              <w:t>Energijos išteklių mažėjimas, jų brangimas</w:t>
            </w:r>
          </w:p>
        </w:tc>
        <w:tc>
          <w:tcPr>
            <w:tcW w:w="1417" w:type="dxa"/>
            <w:tcBorders>
              <w:top w:val="single" w:sz="4" w:space="0" w:color="auto"/>
              <w:left w:val="single" w:sz="4" w:space="0" w:color="auto"/>
              <w:bottom w:val="single" w:sz="4" w:space="0" w:color="auto"/>
              <w:right w:val="single" w:sz="4" w:space="0" w:color="auto"/>
            </w:tcBorders>
            <w:hideMark/>
          </w:tcPr>
          <w:p w14:paraId="3646C5BE" w14:textId="77777777" w:rsidR="00902C72" w:rsidRPr="00483DCD" w:rsidRDefault="00902C72" w:rsidP="00DE004A">
            <w:pPr>
              <w:jc w:val="center"/>
            </w:pPr>
            <w:r w:rsidRPr="00483DCD">
              <w:t>3</w:t>
            </w:r>
          </w:p>
        </w:tc>
        <w:tc>
          <w:tcPr>
            <w:tcW w:w="10490" w:type="dxa"/>
            <w:tcBorders>
              <w:top w:val="single" w:sz="4" w:space="0" w:color="auto"/>
              <w:left w:val="single" w:sz="4" w:space="0" w:color="auto"/>
              <w:bottom w:val="single" w:sz="4" w:space="0" w:color="auto"/>
              <w:right w:val="single" w:sz="4" w:space="0" w:color="auto"/>
            </w:tcBorders>
            <w:hideMark/>
          </w:tcPr>
          <w:p w14:paraId="3646C5BF" w14:textId="3EFD7FF6" w:rsidR="00902C72" w:rsidRPr="00483DCD" w:rsidRDefault="00902C72" w:rsidP="00DE004A">
            <w:pPr>
              <w:jc w:val="both"/>
            </w:pPr>
            <w:r w:rsidRPr="00483DCD">
              <w:t xml:space="preserve">Tarp penkių didžiųjų miestų už šilumą mažiausia moka Kauno, daugiausia – Vilniaus gyventojai. Klaipėdoje šilumos kaina per metus mažėjo 26 proc., </w:t>
            </w:r>
            <w:r w:rsidR="00607FCC">
              <w:t>o</w:t>
            </w:r>
            <w:r w:rsidRPr="00483DCD">
              <w:t xml:space="preserve"> Kaune – 31,6 proc., Vilniuje – 15,5 proc. Nuo 2010 metų gamtinių dujų dalis bendroje šilumos gamybai naudojamo kuro struktūroje tolygiai mažėjo ir nuo 2010 iki 2013 m. sumažėjo 13,4 proc. (nuo 74,2 iki 60,8 proc.). Tuo pačiu laikotarpiu šilumos gamybai naudojamo biokuro dalis augo 13 proc. (nuo 18,2 proc. 2010 m. iki 31,2 proc. 2013 m.). </w:t>
            </w:r>
          </w:p>
          <w:p w14:paraId="3646C5C0" w14:textId="77777777" w:rsidR="00902C72" w:rsidRPr="00483DCD" w:rsidRDefault="00902C72" w:rsidP="00DE004A">
            <w:pPr>
              <w:jc w:val="both"/>
            </w:pPr>
            <w:r w:rsidRPr="00483DCD">
              <w:t xml:space="preserve">Klaipėdiečiams šiluma bei karštas vanduo ir toliau pinga, nes 11,3 proc. sumažėjo pirktos šilumos, o 0,2 proc. – gamtinių dujų kaina. 2014 metų balandžio mėn. duomenimis, didžiausią įtaką rekordiniam šilumos kainos mažėjimui turėjo 43 proc. atpigusi nepriklausomų šilumos gamintojų (NŠG) parduodama šiluma. </w:t>
            </w:r>
            <w:r w:rsidRPr="00483DCD">
              <w:lastRenderedPageBreak/>
              <w:t xml:space="preserve">Klaipėdoje veikia šeši NŠG, kurie pasibaigus šildymo sezonui pradėjo konkuruoti tarpusavyje ir trys iš jų beveik perpus sumažino miestui parduodamos energijos kainas. </w:t>
            </w:r>
          </w:p>
          <w:p w14:paraId="3646C5C1" w14:textId="77777777" w:rsidR="00902C72" w:rsidRPr="00483DCD" w:rsidRDefault="00902C72" w:rsidP="00DE004A">
            <w:pPr>
              <w:jc w:val="both"/>
            </w:pPr>
            <w:r w:rsidRPr="00483DCD">
              <w:t>Nepaisant pastarojo laikotarpio energinių išteklių kainų mažėjimo, ilgalaikio laikotarpio tendencijos rodo, kad energinių išteklių kiekiams mažėjant, kainos augs</w:t>
            </w:r>
          </w:p>
        </w:tc>
      </w:tr>
      <w:tr w:rsidR="00902C72" w:rsidRPr="00483DCD" w14:paraId="3646C5C7" w14:textId="77777777" w:rsidTr="00902C72">
        <w:tc>
          <w:tcPr>
            <w:tcW w:w="570" w:type="dxa"/>
            <w:tcBorders>
              <w:top w:val="single" w:sz="4" w:space="0" w:color="auto"/>
              <w:left w:val="single" w:sz="4" w:space="0" w:color="auto"/>
              <w:bottom w:val="single" w:sz="4" w:space="0" w:color="auto"/>
              <w:right w:val="single" w:sz="4" w:space="0" w:color="auto"/>
            </w:tcBorders>
            <w:hideMark/>
          </w:tcPr>
          <w:p w14:paraId="3646C5C3" w14:textId="77777777" w:rsidR="00902C72" w:rsidRPr="00483DCD" w:rsidRDefault="00902C72" w:rsidP="00DE004A">
            <w:pPr>
              <w:jc w:val="center"/>
            </w:pPr>
            <w:r w:rsidRPr="00483DCD">
              <w:lastRenderedPageBreak/>
              <w:t>3.</w:t>
            </w:r>
          </w:p>
        </w:tc>
        <w:tc>
          <w:tcPr>
            <w:tcW w:w="2189" w:type="dxa"/>
            <w:tcBorders>
              <w:top w:val="single" w:sz="4" w:space="0" w:color="auto"/>
              <w:left w:val="single" w:sz="4" w:space="0" w:color="auto"/>
              <w:bottom w:val="single" w:sz="4" w:space="0" w:color="auto"/>
              <w:right w:val="single" w:sz="4" w:space="0" w:color="auto"/>
            </w:tcBorders>
            <w:hideMark/>
          </w:tcPr>
          <w:p w14:paraId="3646C5C4" w14:textId="77777777" w:rsidR="00902C72" w:rsidRPr="00483DCD" w:rsidRDefault="00902C72" w:rsidP="00DE004A">
            <w:pPr>
              <w:jc w:val="both"/>
            </w:pPr>
            <w:r w:rsidRPr="00483DCD">
              <w:t>Politinių sprendimų tęstinumo nebuvimas</w:t>
            </w:r>
          </w:p>
        </w:tc>
        <w:tc>
          <w:tcPr>
            <w:tcW w:w="1417" w:type="dxa"/>
            <w:tcBorders>
              <w:top w:val="single" w:sz="4" w:space="0" w:color="auto"/>
              <w:left w:val="single" w:sz="4" w:space="0" w:color="auto"/>
              <w:bottom w:val="single" w:sz="4" w:space="0" w:color="auto"/>
              <w:right w:val="single" w:sz="4" w:space="0" w:color="auto"/>
            </w:tcBorders>
            <w:hideMark/>
          </w:tcPr>
          <w:p w14:paraId="3646C5C5" w14:textId="77777777" w:rsidR="00902C72" w:rsidRPr="00483DCD" w:rsidRDefault="00902C72" w:rsidP="00DE004A">
            <w:pPr>
              <w:jc w:val="center"/>
            </w:pPr>
            <w:r w:rsidRPr="00483DCD">
              <w:t>4</w:t>
            </w:r>
          </w:p>
        </w:tc>
        <w:tc>
          <w:tcPr>
            <w:tcW w:w="10490" w:type="dxa"/>
            <w:tcBorders>
              <w:top w:val="single" w:sz="4" w:space="0" w:color="auto"/>
              <w:left w:val="single" w:sz="4" w:space="0" w:color="auto"/>
              <w:bottom w:val="single" w:sz="4" w:space="0" w:color="auto"/>
              <w:right w:val="single" w:sz="4" w:space="0" w:color="auto"/>
            </w:tcBorders>
            <w:hideMark/>
          </w:tcPr>
          <w:p w14:paraId="3646C5C6" w14:textId="77777777" w:rsidR="00902C72" w:rsidRPr="00483DCD" w:rsidRDefault="00902C72" w:rsidP="00DE004A">
            <w:pPr>
              <w:jc w:val="both"/>
            </w:pPr>
            <w:r w:rsidRPr="00483DCD">
              <w:t>Nestabili politinė padėtis daro įtaką ekonominei šalies ir miesto padėčiai, sunku priimti ilgalaikius sprendimus ir nuosekliai juos įgyvendinti</w:t>
            </w:r>
          </w:p>
        </w:tc>
      </w:tr>
    </w:tbl>
    <w:p w14:paraId="3646C5C8" w14:textId="6C647708" w:rsidR="00112D22" w:rsidRPr="00483DCD" w:rsidRDefault="00483DCD" w:rsidP="00483DCD">
      <w:pPr>
        <w:jc w:val="center"/>
      </w:pPr>
      <w:r>
        <w:t>____________________________</w:t>
      </w:r>
    </w:p>
    <w:sectPr w:rsidR="00112D22" w:rsidRPr="00483DCD" w:rsidSect="00680032">
      <w:headerReference w:type="default" r:id="rId8"/>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0AEBE" w14:textId="77777777" w:rsidR="00454358" w:rsidRDefault="00454358" w:rsidP="00D57F27">
      <w:r>
        <w:separator/>
      </w:r>
    </w:p>
  </w:endnote>
  <w:endnote w:type="continuationSeparator" w:id="0">
    <w:p w14:paraId="6FF2973C" w14:textId="77777777" w:rsidR="00454358" w:rsidRDefault="0045435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7BAFB" w14:textId="77777777" w:rsidR="00454358" w:rsidRDefault="00454358" w:rsidP="00D57F27">
      <w:r>
        <w:separator/>
      </w:r>
    </w:p>
  </w:footnote>
  <w:footnote w:type="continuationSeparator" w:id="0">
    <w:p w14:paraId="20326058" w14:textId="77777777" w:rsidR="00454358" w:rsidRDefault="0045435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6C5E7" w14:textId="77777777" w:rsidR="00F43EF5" w:rsidRDefault="00F43EF5">
    <w:pPr>
      <w:pStyle w:val="Antrats"/>
      <w:jc w:val="center"/>
    </w:pPr>
    <w:r>
      <w:fldChar w:fldCharType="begin"/>
    </w:r>
    <w:r>
      <w:instrText>PAGE   \* MERGEFORMAT</w:instrText>
    </w:r>
    <w:r>
      <w:fldChar w:fldCharType="separate"/>
    </w:r>
    <w:r w:rsidR="00471BC2">
      <w:rPr>
        <w:noProof/>
      </w:rPr>
      <w:t>2</w:t>
    </w:r>
    <w:r>
      <w:rPr>
        <w:noProof/>
      </w:rPr>
      <w:fldChar w:fldCharType="end"/>
    </w:r>
  </w:p>
  <w:p w14:paraId="3646C5E8" w14:textId="77777777" w:rsidR="00F43EF5" w:rsidRDefault="00F43E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93ECB"/>
    <w:multiLevelType w:val="hybridMultilevel"/>
    <w:tmpl w:val="BC0EF610"/>
    <w:lvl w:ilvl="0" w:tplc="E23CA4E0">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 w15:restartNumberingAfterBreak="0">
    <w:nsid w:val="34E034A9"/>
    <w:multiLevelType w:val="hybridMultilevel"/>
    <w:tmpl w:val="14985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7A385E"/>
    <w:multiLevelType w:val="hybridMultilevel"/>
    <w:tmpl w:val="A04287B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802887"/>
    <w:multiLevelType w:val="multilevel"/>
    <w:tmpl w:val="41C0ECD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7DFE54DA"/>
    <w:multiLevelType w:val="multilevel"/>
    <w:tmpl w:val="019898FC"/>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299"/>
    <w:rsid w:val="0000405E"/>
    <w:rsid w:val="000314CC"/>
    <w:rsid w:val="00033CB4"/>
    <w:rsid w:val="00035F31"/>
    <w:rsid w:val="0006079E"/>
    <w:rsid w:val="000646AC"/>
    <w:rsid w:val="0006476B"/>
    <w:rsid w:val="000B207F"/>
    <w:rsid w:val="000C0581"/>
    <w:rsid w:val="000D685B"/>
    <w:rsid w:val="000E45B6"/>
    <w:rsid w:val="000F2B25"/>
    <w:rsid w:val="000F39A3"/>
    <w:rsid w:val="00107256"/>
    <w:rsid w:val="001105D1"/>
    <w:rsid w:val="00112D22"/>
    <w:rsid w:val="001210C6"/>
    <w:rsid w:val="00130313"/>
    <w:rsid w:val="00144291"/>
    <w:rsid w:val="00145AEB"/>
    <w:rsid w:val="0014686A"/>
    <w:rsid w:val="0015143E"/>
    <w:rsid w:val="001520D8"/>
    <w:rsid w:val="0015215A"/>
    <w:rsid w:val="00152C62"/>
    <w:rsid w:val="00197FA6"/>
    <w:rsid w:val="001A0AF0"/>
    <w:rsid w:val="001A569D"/>
    <w:rsid w:val="001A6629"/>
    <w:rsid w:val="001B6B28"/>
    <w:rsid w:val="001C1C52"/>
    <w:rsid w:val="001D20DA"/>
    <w:rsid w:val="001D6E2C"/>
    <w:rsid w:val="00206BDD"/>
    <w:rsid w:val="0021113B"/>
    <w:rsid w:val="00221F5E"/>
    <w:rsid w:val="00226CAD"/>
    <w:rsid w:val="002270B1"/>
    <w:rsid w:val="0023298C"/>
    <w:rsid w:val="0023413A"/>
    <w:rsid w:val="00240CE7"/>
    <w:rsid w:val="0024725D"/>
    <w:rsid w:val="002569E4"/>
    <w:rsid w:val="00271D04"/>
    <w:rsid w:val="00275EC0"/>
    <w:rsid w:val="00276CDC"/>
    <w:rsid w:val="002C1BFE"/>
    <w:rsid w:val="002E32B2"/>
    <w:rsid w:val="002F366C"/>
    <w:rsid w:val="0030077C"/>
    <w:rsid w:val="00305796"/>
    <w:rsid w:val="0031028A"/>
    <w:rsid w:val="003156A9"/>
    <w:rsid w:val="00323940"/>
    <w:rsid w:val="0033235B"/>
    <w:rsid w:val="0033486D"/>
    <w:rsid w:val="00340FF4"/>
    <w:rsid w:val="003528D0"/>
    <w:rsid w:val="00357CCD"/>
    <w:rsid w:val="00367653"/>
    <w:rsid w:val="00372FF4"/>
    <w:rsid w:val="00391460"/>
    <w:rsid w:val="00394209"/>
    <w:rsid w:val="003A3C4F"/>
    <w:rsid w:val="003A64FB"/>
    <w:rsid w:val="003B5A45"/>
    <w:rsid w:val="003D67B8"/>
    <w:rsid w:val="003F5DC1"/>
    <w:rsid w:val="003F7543"/>
    <w:rsid w:val="00400C46"/>
    <w:rsid w:val="00410D0D"/>
    <w:rsid w:val="00420556"/>
    <w:rsid w:val="00422E76"/>
    <w:rsid w:val="00435DE1"/>
    <w:rsid w:val="004476DD"/>
    <w:rsid w:val="00447F41"/>
    <w:rsid w:val="00454358"/>
    <w:rsid w:val="00471BC2"/>
    <w:rsid w:val="00471D5C"/>
    <w:rsid w:val="00481F2F"/>
    <w:rsid w:val="00483DCD"/>
    <w:rsid w:val="0048645E"/>
    <w:rsid w:val="0049378F"/>
    <w:rsid w:val="00493B18"/>
    <w:rsid w:val="004A555B"/>
    <w:rsid w:val="004A7CEF"/>
    <w:rsid w:val="004B3FF1"/>
    <w:rsid w:val="004C366C"/>
    <w:rsid w:val="004C4133"/>
    <w:rsid w:val="004C6D77"/>
    <w:rsid w:val="004E239A"/>
    <w:rsid w:val="004F4D0E"/>
    <w:rsid w:val="004F5C3C"/>
    <w:rsid w:val="004F619F"/>
    <w:rsid w:val="00501519"/>
    <w:rsid w:val="00502746"/>
    <w:rsid w:val="00502DCC"/>
    <w:rsid w:val="00514E69"/>
    <w:rsid w:val="00540FEA"/>
    <w:rsid w:val="00572796"/>
    <w:rsid w:val="00597EE8"/>
    <w:rsid w:val="005A03EB"/>
    <w:rsid w:val="005C1A20"/>
    <w:rsid w:val="005D1CAE"/>
    <w:rsid w:val="005E066E"/>
    <w:rsid w:val="005F1F7C"/>
    <w:rsid w:val="005F495C"/>
    <w:rsid w:val="005F58D1"/>
    <w:rsid w:val="005F768C"/>
    <w:rsid w:val="00607FCC"/>
    <w:rsid w:val="006328ED"/>
    <w:rsid w:val="006508D4"/>
    <w:rsid w:val="00653363"/>
    <w:rsid w:val="00656F18"/>
    <w:rsid w:val="006648D5"/>
    <w:rsid w:val="00665281"/>
    <w:rsid w:val="00680032"/>
    <w:rsid w:val="00692ACD"/>
    <w:rsid w:val="00696C25"/>
    <w:rsid w:val="006A1A6C"/>
    <w:rsid w:val="006D05DA"/>
    <w:rsid w:val="006E771F"/>
    <w:rsid w:val="006F2201"/>
    <w:rsid w:val="00724BBA"/>
    <w:rsid w:val="0072579C"/>
    <w:rsid w:val="007470D3"/>
    <w:rsid w:val="007664D0"/>
    <w:rsid w:val="0078315C"/>
    <w:rsid w:val="00784DED"/>
    <w:rsid w:val="0079400F"/>
    <w:rsid w:val="007A0038"/>
    <w:rsid w:val="007A3997"/>
    <w:rsid w:val="007B2A2C"/>
    <w:rsid w:val="007E60C7"/>
    <w:rsid w:val="007F1C38"/>
    <w:rsid w:val="007F2839"/>
    <w:rsid w:val="007F5091"/>
    <w:rsid w:val="008005E9"/>
    <w:rsid w:val="0081310E"/>
    <w:rsid w:val="008175D5"/>
    <w:rsid w:val="00824C67"/>
    <w:rsid w:val="00832CC9"/>
    <w:rsid w:val="008354D5"/>
    <w:rsid w:val="00850F5F"/>
    <w:rsid w:val="0087388A"/>
    <w:rsid w:val="00892179"/>
    <w:rsid w:val="008A35F0"/>
    <w:rsid w:val="008B73B9"/>
    <w:rsid w:val="008C780F"/>
    <w:rsid w:val="008E6E82"/>
    <w:rsid w:val="008F5ECF"/>
    <w:rsid w:val="00902C72"/>
    <w:rsid w:val="0090414C"/>
    <w:rsid w:val="00914700"/>
    <w:rsid w:val="0091705F"/>
    <w:rsid w:val="00941BEA"/>
    <w:rsid w:val="00963178"/>
    <w:rsid w:val="00984E42"/>
    <w:rsid w:val="00994D41"/>
    <w:rsid w:val="00995DD9"/>
    <w:rsid w:val="00997E12"/>
    <w:rsid w:val="009A0F87"/>
    <w:rsid w:val="009A1DDC"/>
    <w:rsid w:val="009D1552"/>
    <w:rsid w:val="009D19D9"/>
    <w:rsid w:val="009F41F9"/>
    <w:rsid w:val="00A0419D"/>
    <w:rsid w:val="00A077FA"/>
    <w:rsid w:val="00A11CDF"/>
    <w:rsid w:val="00A13CF3"/>
    <w:rsid w:val="00A24C83"/>
    <w:rsid w:val="00A24E0A"/>
    <w:rsid w:val="00A261D3"/>
    <w:rsid w:val="00A41FC7"/>
    <w:rsid w:val="00A43233"/>
    <w:rsid w:val="00A50BBE"/>
    <w:rsid w:val="00A55DDB"/>
    <w:rsid w:val="00A61440"/>
    <w:rsid w:val="00A735BA"/>
    <w:rsid w:val="00A76410"/>
    <w:rsid w:val="00A772D4"/>
    <w:rsid w:val="00A939EF"/>
    <w:rsid w:val="00A95413"/>
    <w:rsid w:val="00AB6D09"/>
    <w:rsid w:val="00AC3EF3"/>
    <w:rsid w:val="00AC478C"/>
    <w:rsid w:val="00AC6831"/>
    <w:rsid w:val="00AE2AD0"/>
    <w:rsid w:val="00AF1BA6"/>
    <w:rsid w:val="00AF7D08"/>
    <w:rsid w:val="00B05DE0"/>
    <w:rsid w:val="00B130B9"/>
    <w:rsid w:val="00B13825"/>
    <w:rsid w:val="00B22D06"/>
    <w:rsid w:val="00B35EF2"/>
    <w:rsid w:val="00B44BE4"/>
    <w:rsid w:val="00B55477"/>
    <w:rsid w:val="00B57265"/>
    <w:rsid w:val="00B750B6"/>
    <w:rsid w:val="00B76DF1"/>
    <w:rsid w:val="00BA13F7"/>
    <w:rsid w:val="00BA6499"/>
    <w:rsid w:val="00BA7E39"/>
    <w:rsid w:val="00BB05C5"/>
    <w:rsid w:val="00BC0F55"/>
    <w:rsid w:val="00BC0FCE"/>
    <w:rsid w:val="00BF5924"/>
    <w:rsid w:val="00C06223"/>
    <w:rsid w:val="00C11C01"/>
    <w:rsid w:val="00C15E19"/>
    <w:rsid w:val="00C338E4"/>
    <w:rsid w:val="00C50C9D"/>
    <w:rsid w:val="00C64C33"/>
    <w:rsid w:val="00C747DA"/>
    <w:rsid w:val="00C820E5"/>
    <w:rsid w:val="00C8674C"/>
    <w:rsid w:val="00C96488"/>
    <w:rsid w:val="00CA3AF0"/>
    <w:rsid w:val="00CA4D3B"/>
    <w:rsid w:val="00CC4B0F"/>
    <w:rsid w:val="00CD30EB"/>
    <w:rsid w:val="00CF2BBA"/>
    <w:rsid w:val="00CF332C"/>
    <w:rsid w:val="00CF51FE"/>
    <w:rsid w:val="00CF5214"/>
    <w:rsid w:val="00D00C41"/>
    <w:rsid w:val="00D33254"/>
    <w:rsid w:val="00D42B72"/>
    <w:rsid w:val="00D57F27"/>
    <w:rsid w:val="00D63CC8"/>
    <w:rsid w:val="00D8036E"/>
    <w:rsid w:val="00D87368"/>
    <w:rsid w:val="00DA1B37"/>
    <w:rsid w:val="00DA4944"/>
    <w:rsid w:val="00DC6EB5"/>
    <w:rsid w:val="00DE004A"/>
    <w:rsid w:val="00DE0406"/>
    <w:rsid w:val="00E00651"/>
    <w:rsid w:val="00E063BC"/>
    <w:rsid w:val="00E10147"/>
    <w:rsid w:val="00E11283"/>
    <w:rsid w:val="00E33871"/>
    <w:rsid w:val="00E35DE2"/>
    <w:rsid w:val="00E408E1"/>
    <w:rsid w:val="00E45C0A"/>
    <w:rsid w:val="00E56A73"/>
    <w:rsid w:val="00E56B21"/>
    <w:rsid w:val="00E67A8A"/>
    <w:rsid w:val="00E74638"/>
    <w:rsid w:val="00E773AC"/>
    <w:rsid w:val="00EA76AC"/>
    <w:rsid w:val="00EB4C86"/>
    <w:rsid w:val="00EB5F16"/>
    <w:rsid w:val="00ED2FB2"/>
    <w:rsid w:val="00ED566B"/>
    <w:rsid w:val="00ED6A64"/>
    <w:rsid w:val="00EE37C4"/>
    <w:rsid w:val="00EE61BA"/>
    <w:rsid w:val="00EF1164"/>
    <w:rsid w:val="00F075E4"/>
    <w:rsid w:val="00F120D2"/>
    <w:rsid w:val="00F1681B"/>
    <w:rsid w:val="00F43EF5"/>
    <w:rsid w:val="00F45A6D"/>
    <w:rsid w:val="00F47D43"/>
    <w:rsid w:val="00F72A1E"/>
    <w:rsid w:val="00F83DC8"/>
    <w:rsid w:val="00F94ACA"/>
    <w:rsid w:val="00F9661B"/>
    <w:rsid w:val="00FB222D"/>
    <w:rsid w:val="00FB303F"/>
    <w:rsid w:val="00FB5EDD"/>
    <w:rsid w:val="00FE04F0"/>
    <w:rsid w:val="00FE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6C47B"/>
  <w15:docId w15:val="{0F12D0AD-BEA6-4E06-8657-333B2E8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val="lt-LT"/>
    </w:rPr>
  </w:style>
  <w:style w:type="paragraph" w:styleId="Antrat7">
    <w:name w:val="heading 7"/>
    <w:basedOn w:val="prastasis"/>
    <w:next w:val="prastasis"/>
    <w:link w:val="Antrat7Diagrama"/>
    <w:uiPriority w:val="99"/>
    <w:qFormat/>
    <w:locked/>
    <w:rsid w:val="009D19D9"/>
    <w:pPr>
      <w:spacing w:before="240" w:after="60" w:line="276" w:lineRule="auto"/>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uiPriority w:val="99"/>
    <w:semiHidden/>
    <w:locked/>
    <w:rsid w:val="009D19D9"/>
    <w:rPr>
      <w:rFonts w:eastAsia="Times New Roman" w:cs="Times New Roman"/>
      <w:sz w:val="24"/>
      <w:szCs w:val="24"/>
      <w:lang w:val="lt-LT" w:eastAsia="en-US" w:bidi="ar-SA"/>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57F27"/>
    <w:pPr>
      <w:tabs>
        <w:tab w:val="center" w:pos="4819"/>
        <w:tab w:val="right" w:pos="9638"/>
      </w:tabs>
    </w:pPr>
  </w:style>
  <w:style w:type="character" w:customStyle="1" w:styleId="AntratsDiagrama">
    <w:name w:val="Antraštės Diagrama"/>
    <w:basedOn w:val="Numatytasispastraiposriftas"/>
    <w:link w:val="Antrats"/>
    <w:uiPriority w:val="99"/>
    <w:locked/>
    <w:rsid w:val="00D57F27"/>
    <w:rPr>
      <w:rFonts w:ascii="Times New Roman" w:hAnsi="Times New Roman" w:cs="Times New Roman"/>
      <w:sz w:val="24"/>
      <w:szCs w:val="24"/>
    </w:rPr>
  </w:style>
  <w:style w:type="paragraph" w:styleId="Porat">
    <w:name w:val="footer"/>
    <w:basedOn w:val="prastasis"/>
    <w:link w:val="PoratDiagrama"/>
    <w:uiPriority w:val="99"/>
    <w:rsid w:val="00D57F27"/>
    <w:pPr>
      <w:tabs>
        <w:tab w:val="center" w:pos="4819"/>
        <w:tab w:val="right" w:pos="9638"/>
      </w:tabs>
    </w:pPr>
  </w:style>
  <w:style w:type="character" w:customStyle="1" w:styleId="PoratDiagrama">
    <w:name w:val="Poraštė Diagrama"/>
    <w:basedOn w:val="Numatytasispastraiposriftas"/>
    <w:link w:val="Porat"/>
    <w:uiPriority w:val="99"/>
    <w:locked/>
    <w:rsid w:val="00D57F27"/>
    <w:rPr>
      <w:rFonts w:ascii="Times New Roman" w:hAnsi="Times New Roman" w:cs="Times New Roman"/>
      <w:sz w:val="24"/>
      <w:szCs w:val="24"/>
    </w:rPr>
  </w:style>
  <w:style w:type="paragraph" w:customStyle="1" w:styleId="Sraopastraipa">
    <w:name w:val="Sąrao pastraipa"/>
    <w:basedOn w:val="prastasis"/>
    <w:uiPriority w:val="99"/>
    <w:rsid w:val="009D19D9"/>
    <w:pPr>
      <w:spacing w:after="200" w:line="276" w:lineRule="auto"/>
      <w:ind w:left="720"/>
      <w:contextualSpacing/>
    </w:pPr>
    <w:rPr>
      <w:rFonts w:ascii="Calibri" w:hAnsi="Calibri"/>
      <w:sz w:val="22"/>
      <w:szCs w:val="22"/>
    </w:rPr>
  </w:style>
  <w:style w:type="paragraph" w:styleId="prastasiniatinklio">
    <w:name w:val="Normal (Web)"/>
    <w:basedOn w:val="prastasis"/>
    <w:uiPriority w:val="99"/>
    <w:rsid w:val="009D19D9"/>
    <w:pPr>
      <w:spacing w:after="200" w:line="276" w:lineRule="auto"/>
    </w:pPr>
  </w:style>
  <w:style w:type="paragraph" w:styleId="Pagrindinistekstas">
    <w:name w:val="Body Text"/>
    <w:basedOn w:val="prastasis"/>
    <w:link w:val="PagrindinistekstasDiagrama"/>
    <w:uiPriority w:val="99"/>
    <w:rsid w:val="009D19D9"/>
    <w:pPr>
      <w:spacing w:after="120" w:line="276" w:lineRule="auto"/>
    </w:pPr>
    <w:rPr>
      <w:rFonts w:ascii="Calibri" w:hAnsi="Calibri"/>
      <w:sz w:val="22"/>
      <w:szCs w:val="22"/>
    </w:rPr>
  </w:style>
  <w:style w:type="character" w:customStyle="1" w:styleId="PagrindinistekstasDiagrama">
    <w:name w:val="Pagrindinis tekstas Diagrama"/>
    <w:basedOn w:val="Numatytasispastraiposriftas"/>
    <w:link w:val="Pagrindinistekstas"/>
    <w:uiPriority w:val="99"/>
    <w:semiHidden/>
    <w:locked/>
    <w:rsid w:val="009D19D9"/>
    <w:rPr>
      <w:rFonts w:ascii="Calibri" w:hAnsi="Calibri" w:cs="Times New Roman"/>
      <w:sz w:val="22"/>
      <w:szCs w:val="22"/>
      <w:lang w:val="lt-LT" w:eastAsia="en-US" w:bidi="ar-SA"/>
    </w:rPr>
  </w:style>
  <w:style w:type="paragraph" w:customStyle="1" w:styleId="Default">
    <w:name w:val="Default"/>
    <w:uiPriority w:val="99"/>
    <w:rsid w:val="009D19D9"/>
    <w:pPr>
      <w:autoSpaceDE w:val="0"/>
      <w:autoSpaceDN w:val="0"/>
      <w:adjustRightInd w:val="0"/>
    </w:pPr>
    <w:rPr>
      <w:rFonts w:ascii="Times New Roman" w:hAnsi="Times New Roman"/>
      <w:color w:val="000000"/>
      <w:sz w:val="24"/>
      <w:szCs w:val="24"/>
    </w:rPr>
  </w:style>
  <w:style w:type="paragraph" w:customStyle="1" w:styleId="Sraopastraipa1">
    <w:name w:val="Sąrašo pastraipa1"/>
    <w:basedOn w:val="prastasis"/>
    <w:uiPriority w:val="34"/>
    <w:qFormat/>
    <w:rsid w:val="00112D22"/>
    <w:pPr>
      <w:spacing w:before="240" w:line="276" w:lineRule="auto"/>
      <w:contextualSpacing/>
      <w:jc w:val="both"/>
    </w:pPr>
    <w:rPr>
      <w:rFonts w:eastAsia="Calibri"/>
      <w:szCs w:val="22"/>
      <w:lang w:val="en-US"/>
    </w:rPr>
  </w:style>
  <w:style w:type="paragraph" w:styleId="Sraopastraipa0">
    <w:name w:val="List Paragraph"/>
    <w:basedOn w:val="prastasis"/>
    <w:uiPriority w:val="34"/>
    <w:qFormat/>
    <w:rsid w:val="00AF1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555871">
      <w:bodyDiv w:val="1"/>
      <w:marLeft w:val="0"/>
      <w:marRight w:val="0"/>
      <w:marTop w:val="0"/>
      <w:marBottom w:val="0"/>
      <w:divBdr>
        <w:top w:val="none" w:sz="0" w:space="0" w:color="auto"/>
        <w:left w:val="none" w:sz="0" w:space="0" w:color="auto"/>
        <w:bottom w:val="none" w:sz="0" w:space="0" w:color="auto"/>
        <w:right w:val="none" w:sz="0" w:space="0" w:color="auto"/>
      </w:divBdr>
    </w:div>
    <w:div w:id="1247107993">
      <w:marLeft w:val="0"/>
      <w:marRight w:val="0"/>
      <w:marTop w:val="0"/>
      <w:marBottom w:val="0"/>
      <w:divBdr>
        <w:top w:val="none" w:sz="0" w:space="0" w:color="auto"/>
        <w:left w:val="none" w:sz="0" w:space="0" w:color="auto"/>
        <w:bottom w:val="none" w:sz="0" w:space="0" w:color="auto"/>
        <w:right w:val="none" w:sz="0" w:space="0" w:color="auto"/>
      </w:divBdr>
    </w:div>
    <w:div w:id="212711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5818F-DF09-4901-9B22-1173C21E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7901</Words>
  <Characters>4504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Birute Radavičienė</dc:creator>
  <cp:lastModifiedBy>Virginija Palaimiene</cp:lastModifiedBy>
  <cp:revision>2</cp:revision>
  <cp:lastPrinted>2015-11-23T13:42:00Z</cp:lastPrinted>
  <dcterms:created xsi:type="dcterms:W3CDTF">2017-07-31T05:14:00Z</dcterms:created>
  <dcterms:modified xsi:type="dcterms:W3CDTF">2017-07-31T05:14:00Z</dcterms:modified>
</cp:coreProperties>
</file>