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20772" w14:textId="77777777" w:rsidR="00B83CE8" w:rsidRDefault="00B83CE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61648E42" w14:textId="77777777" w:rsidR="00B83CE8" w:rsidRDefault="00B83CE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5A1B493" w14:textId="77777777" w:rsidR="00B83CE8" w:rsidRDefault="00B83CE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57995041" w14:textId="77777777" w:rsidR="00B83CE8" w:rsidRDefault="00B83CE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D06F630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D06F631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D06F632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D06F633" w14:textId="77777777" w:rsidR="00550A51" w:rsidRPr="001463DC" w:rsidRDefault="00550A51" w:rsidP="00550A51">
      <w:pPr>
        <w:jc w:val="center"/>
        <w:rPr>
          <w:sz w:val="24"/>
          <w:szCs w:val="24"/>
        </w:rPr>
      </w:pPr>
      <w:r w:rsidRPr="00D16BEC">
        <w:rPr>
          <w:b/>
          <w:caps/>
          <w:sz w:val="24"/>
          <w:szCs w:val="24"/>
        </w:rPr>
        <w:t>DĖL</w:t>
      </w:r>
      <w:r>
        <w:rPr>
          <w:b/>
          <w:caps/>
          <w:sz w:val="24"/>
          <w:szCs w:val="24"/>
        </w:rPr>
        <w:t xml:space="preserve"> vidutinės kuro įsigijimo kainos patvirtinimo</w:t>
      </w:r>
    </w:p>
    <w:p w14:paraId="1D06F634" w14:textId="77777777" w:rsidR="00163473" w:rsidRPr="00F33612" w:rsidRDefault="00163473" w:rsidP="001456CE">
      <w:pPr>
        <w:pStyle w:val="Pagrindinistekstas"/>
        <w:jc w:val="center"/>
        <w:rPr>
          <w:szCs w:val="24"/>
        </w:rPr>
      </w:pPr>
    </w:p>
    <w:bookmarkStart w:id="0" w:name="registravimoDataIlga"/>
    <w:p w14:paraId="1D06F635" w14:textId="54F00FEE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 w:rsidR="00494D5A">
        <w:rPr>
          <w:noProof/>
          <w:sz w:val="24"/>
          <w:szCs w:val="24"/>
        </w:rPr>
        <w:t>2012 m. spalio 23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 </w:t>
      </w:r>
      <w:r w:rsidR="008E411C">
        <w:rPr>
          <w:noProof/>
          <w:sz w:val="24"/>
          <w:szCs w:val="24"/>
        </w:rPr>
        <w:fldChar w:fldCharType="end"/>
      </w:r>
      <w:bookmarkEnd w:id="1"/>
      <w:r w:rsidR="00494D5A">
        <w:rPr>
          <w:noProof/>
          <w:sz w:val="24"/>
          <w:szCs w:val="24"/>
        </w:rPr>
        <w:t>T2-244</w:t>
      </w:r>
    </w:p>
    <w:p w14:paraId="1D06F63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D06F637" w14:textId="77777777" w:rsidR="00163473" w:rsidRDefault="00163473" w:rsidP="00AD2EE1">
      <w:pPr>
        <w:pStyle w:val="Pagrindinistekstas"/>
        <w:rPr>
          <w:szCs w:val="24"/>
        </w:rPr>
      </w:pPr>
    </w:p>
    <w:p w14:paraId="1D06F638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1D06F639" w14:textId="77777777" w:rsidR="00550A51" w:rsidRDefault="00550A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(Žin., 1994, Nr. 55-1049; 2008, Nr. 113-4290; 2011, Nr. 52-2504) 16 straipsnio 4 dalimi, Lietuvos Respublikos piniginės socialinės paramos nepasiturintiems gyventojams įstatymo (Žin., 2003, Nr. 73-3352; 2006, Nr.</w:t>
      </w:r>
      <w:r w:rsidR="007066E3">
        <w:rPr>
          <w:sz w:val="24"/>
          <w:szCs w:val="24"/>
        </w:rPr>
        <w:t> </w:t>
      </w:r>
      <w:r>
        <w:rPr>
          <w:sz w:val="24"/>
          <w:szCs w:val="24"/>
        </w:rPr>
        <w:t>130</w:t>
      </w:r>
      <w:r w:rsidR="007066E3">
        <w:rPr>
          <w:sz w:val="24"/>
          <w:szCs w:val="24"/>
        </w:rPr>
        <w:noBreakHyphen/>
      </w:r>
      <w:r>
        <w:rPr>
          <w:sz w:val="24"/>
          <w:szCs w:val="24"/>
        </w:rPr>
        <w:t>4889; 2011, Nr.</w:t>
      </w:r>
      <w:r w:rsidR="007066E3">
        <w:rPr>
          <w:sz w:val="24"/>
          <w:szCs w:val="24"/>
        </w:rPr>
        <w:t> </w:t>
      </w:r>
      <w:r>
        <w:rPr>
          <w:sz w:val="24"/>
          <w:szCs w:val="24"/>
        </w:rPr>
        <w:t>155</w:t>
      </w:r>
      <w:r w:rsidR="007066E3">
        <w:rPr>
          <w:sz w:val="24"/>
          <w:szCs w:val="24"/>
        </w:rPr>
        <w:noBreakHyphen/>
      </w:r>
      <w:r>
        <w:rPr>
          <w:sz w:val="24"/>
          <w:szCs w:val="24"/>
        </w:rPr>
        <w:t xml:space="preserve">7353) 11 straipsnio 3 dalimi, Klaipėdos miesto savivaldybės taryba </w:t>
      </w:r>
      <w:r w:rsidRPr="002033C8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1D06F63A" w14:textId="77777777" w:rsidR="00550A51" w:rsidRPr="009F2650" w:rsidRDefault="00550A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Patvirtinti nuo </w:t>
      </w:r>
      <w:r w:rsidRPr="008A7D60">
        <w:rPr>
          <w:sz w:val="24"/>
          <w:szCs w:val="24"/>
        </w:rPr>
        <w:t>2012 m. spalio 1 d. vidutines kietojo ar kitokio kuro</w:t>
      </w:r>
      <w:r w:rsidR="008A7D60" w:rsidRPr="009F2650">
        <w:rPr>
          <w:sz w:val="24"/>
          <w:szCs w:val="24"/>
        </w:rPr>
        <w:t>, kurio faktinės sąnaudos kiekvieną mėnesį nenustatomos,</w:t>
      </w:r>
      <w:r w:rsidRPr="009F2650">
        <w:rPr>
          <w:sz w:val="24"/>
          <w:szCs w:val="24"/>
        </w:rPr>
        <w:t xml:space="preserve"> kainas (įskaitant PVM) būsto šildymo išlaidų ir išlaidų karštam vandeniui kompensacijoms, naudojant kietąjį ar kitokį kurą, apskaičiuoti:</w:t>
      </w:r>
    </w:p>
    <w:p w14:paraId="1D06F63B" w14:textId="77777777" w:rsidR="00550A51" w:rsidRPr="00647880" w:rsidRDefault="007066E3" w:rsidP="007066E3">
      <w:pPr>
        <w:ind w:firstLine="720"/>
        <w:jc w:val="both"/>
        <w:rPr>
          <w:sz w:val="24"/>
          <w:szCs w:val="24"/>
        </w:rPr>
      </w:pPr>
      <w:r w:rsidRPr="009F2650">
        <w:rPr>
          <w:sz w:val="24"/>
          <w:szCs w:val="24"/>
        </w:rPr>
        <w:t xml:space="preserve">1.1. </w:t>
      </w:r>
      <w:r w:rsidR="00550A51" w:rsidRPr="009F2650">
        <w:rPr>
          <w:sz w:val="24"/>
          <w:szCs w:val="24"/>
        </w:rPr>
        <w:t>vieno kubinio metro (kietmetrio) malkų kaina – 132 Lt;</w:t>
      </w:r>
    </w:p>
    <w:p w14:paraId="1D06F63C" w14:textId="77777777" w:rsidR="00550A51" w:rsidRPr="00647880" w:rsidRDefault="007066E3" w:rsidP="007066E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550A51" w:rsidRPr="00647880">
        <w:rPr>
          <w:sz w:val="24"/>
          <w:szCs w:val="24"/>
        </w:rPr>
        <w:t>vienos tonos akmens anglių kaina –</w:t>
      </w:r>
      <w:r w:rsidR="00550A51">
        <w:rPr>
          <w:sz w:val="24"/>
          <w:szCs w:val="24"/>
        </w:rPr>
        <w:t xml:space="preserve"> 592 </w:t>
      </w:r>
      <w:r w:rsidR="00550A51" w:rsidRPr="00647880">
        <w:rPr>
          <w:sz w:val="24"/>
          <w:szCs w:val="24"/>
        </w:rPr>
        <w:t>Lt;</w:t>
      </w:r>
    </w:p>
    <w:p w14:paraId="1D06F63D" w14:textId="77777777" w:rsidR="00550A51" w:rsidRPr="00647880" w:rsidRDefault="007066E3" w:rsidP="007066E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50A51" w:rsidRPr="00647880">
        <w:rPr>
          <w:sz w:val="24"/>
          <w:szCs w:val="24"/>
        </w:rPr>
        <w:t xml:space="preserve">kai būsto šildymui ir karšto vandens ruošimui naudojamas kitoks kuras, jo vidutinė kaina prilyginama vidutinei vieno kubinio metro (kietmetrio) malkų kainai – </w:t>
      </w:r>
      <w:r w:rsidR="00550A51">
        <w:rPr>
          <w:sz w:val="24"/>
          <w:szCs w:val="24"/>
        </w:rPr>
        <w:t xml:space="preserve">132 </w:t>
      </w:r>
      <w:r w:rsidR="00550A51" w:rsidRPr="00647880">
        <w:rPr>
          <w:sz w:val="24"/>
          <w:szCs w:val="24"/>
        </w:rPr>
        <w:t>Lt.</w:t>
      </w:r>
    </w:p>
    <w:p w14:paraId="1D06F63E" w14:textId="77777777" w:rsidR="00550A51" w:rsidRDefault="00550A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 w:rsidRPr="00647880">
        <w:rPr>
          <w:sz w:val="24"/>
          <w:szCs w:val="24"/>
        </w:rPr>
        <w:t>2. Nustatyti, kad šio sprendimo 1 punktu patvirtintos kainos taikomos apskaičiuojant būsto šildymo išlaidų ir išlaidų karštam vandeniui kompensacijų dydį naudojantiems kietąjį</w:t>
      </w:r>
      <w:r>
        <w:rPr>
          <w:sz w:val="24"/>
          <w:szCs w:val="24"/>
        </w:rPr>
        <w:t xml:space="preserve"> ar kitokį kurą už 2012 m. spalio ir kitus mėnesius, bet ne ilgiau kaip iki 2013 m. spalio 1 d.</w:t>
      </w:r>
    </w:p>
    <w:p w14:paraId="1D06F63F" w14:textId="77777777" w:rsidR="00550A51" w:rsidRDefault="00550A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Skelbti šį sprendimą vietinėje spaudoje ir Klaipėdos miesto savivaldybės interneto tinklalapyje.</w:t>
      </w:r>
    </w:p>
    <w:p w14:paraId="1D06F640" w14:textId="77777777" w:rsidR="00F33612" w:rsidRDefault="00F33612" w:rsidP="00F33612">
      <w:pPr>
        <w:jc w:val="both"/>
        <w:rPr>
          <w:sz w:val="24"/>
          <w:szCs w:val="24"/>
        </w:rPr>
      </w:pPr>
    </w:p>
    <w:p w14:paraId="1D06F641" w14:textId="77777777" w:rsidR="0053201C" w:rsidRPr="00F33612" w:rsidRDefault="0053201C" w:rsidP="00F3361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1D06F644" w14:textId="77777777" w:rsidTr="007066E3">
        <w:tc>
          <w:tcPr>
            <w:tcW w:w="7338" w:type="dxa"/>
            <w:shd w:val="clear" w:color="auto" w:fill="auto"/>
          </w:tcPr>
          <w:p w14:paraId="1D06F642" w14:textId="77777777" w:rsidR="00F33612" w:rsidRPr="00F33612" w:rsidRDefault="00F33612" w:rsidP="007066E3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1D06F643" w14:textId="6CD08CCC" w:rsidR="00F33612" w:rsidRPr="00F33612" w:rsidRDefault="00494D5A" w:rsidP="007066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  <w:tr w:rsidR="00494D5A" w:rsidRPr="00F33612" w14:paraId="684CFE9C" w14:textId="77777777" w:rsidTr="007066E3">
        <w:tc>
          <w:tcPr>
            <w:tcW w:w="7338" w:type="dxa"/>
            <w:shd w:val="clear" w:color="auto" w:fill="auto"/>
          </w:tcPr>
          <w:p w14:paraId="58EC5831" w14:textId="77777777" w:rsidR="00494D5A" w:rsidRPr="00F33612" w:rsidRDefault="00494D5A" w:rsidP="007066E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7E003061" w14:textId="77777777" w:rsidR="00494D5A" w:rsidRPr="00F33612" w:rsidRDefault="00494D5A" w:rsidP="007066E3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06F645" w14:textId="77777777" w:rsidR="0053201C" w:rsidRDefault="0053201C" w:rsidP="00F33612">
      <w:pPr>
        <w:jc w:val="both"/>
        <w:rPr>
          <w:sz w:val="24"/>
          <w:szCs w:val="24"/>
        </w:rPr>
      </w:pPr>
    </w:p>
    <w:p w14:paraId="1D06F646" w14:textId="77777777" w:rsidR="006A3D46" w:rsidRPr="00F33612" w:rsidRDefault="006A3D46" w:rsidP="00F33612">
      <w:pPr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F33612" w:rsidRPr="00F33612" w14:paraId="1D06F649" w14:textId="77777777" w:rsidTr="007066E3">
        <w:tc>
          <w:tcPr>
            <w:tcW w:w="7338" w:type="dxa"/>
            <w:shd w:val="clear" w:color="auto" w:fill="auto"/>
          </w:tcPr>
          <w:p w14:paraId="1D06F647" w14:textId="4BDC36C6" w:rsidR="00F33612" w:rsidRPr="00F33612" w:rsidRDefault="00F33612" w:rsidP="007066E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D06F648" w14:textId="189FF73A" w:rsidR="00F33612" w:rsidRPr="00F33612" w:rsidRDefault="00F33612" w:rsidP="007066E3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06F64A" w14:textId="77777777" w:rsidR="007066E3" w:rsidRDefault="007066E3" w:rsidP="00F33612">
      <w:pPr>
        <w:jc w:val="both"/>
        <w:rPr>
          <w:sz w:val="24"/>
          <w:szCs w:val="24"/>
        </w:rPr>
      </w:pPr>
    </w:p>
    <w:p w14:paraId="1D06F64B" w14:textId="77777777" w:rsidR="007066E3" w:rsidRDefault="007066E3" w:rsidP="00F33612">
      <w:pPr>
        <w:jc w:val="both"/>
        <w:rPr>
          <w:sz w:val="24"/>
          <w:szCs w:val="24"/>
        </w:rPr>
      </w:pPr>
    </w:p>
    <w:p w14:paraId="1D06F64C" w14:textId="77777777" w:rsidR="007066E3" w:rsidRDefault="007066E3" w:rsidP="00F33612">
      <w:pPr>
        <w:jc w:val="both"/>
        <w:rPr>
          <w:sz w:val="24"/>
          <w:szCs w:val="24"/>
        </w:rPr>
      </w:pPr>
    </w:p>
    <w:p w14:paraId="1D06F64D" w14:textId="77777777" w:rsidR="007066E3" w:rsidRDefault="007066E3" w:rsidP="00F33612">
      <w:pPr>
        <w:jc w:val="both"/>
        <w:rPr>
          <w:sz w:val="24"/>
          <w:szCs w:val="24"/>
        </w:rPr>
      </w:pPr>
    </w:p>
    <w:p w14:paraId="1D06F64E" w14:textId="77777777" w:rsidR="007066E3" w:rsidRDefault="007066E3" w:rsidP="00F33612">
      <w:pPr>
        <w:jc w:val="both"/>
        <w:rPr>
          <w:sz w:val="24"/>
          <w:szCs w:val="24"/>
        </w:rPr>
      </w:pPr>
    </w:p>
    <w:p w14:paraId="1D06F64F" w14:textId="77777777" w:rsidR="007066E3" w:rsidRDefault="007066E3" w:rsidP="00F33612">
      <w:pPr>
        <w:jc w:val="both"/>
        <w:rPr>
          <w:sz w:val="24"/>
          <w:szCs w:val="24"/>
        </w:rPr>
      </w:pPr>
    </w:p>
    <w:p w14:paraId="1D06F650" w14:textId="77777777" w:rsidR="007066E3" w:rsidRDefault="007066E3" w:rsidP="00F33612">
      <w:pPr>
        <w:jc w:val="both"/>
        <w:rPr>
          <w:sz w:val="24"/>
          <w:szCs w:val="24"/>
        </w:rPr>
      </w:pPr>
    </w:p>
    <w:p w14:paraId="1D06F651" w14:textId="77777777" w:rsidR="007066E3" w:rsidRDefault="007066E3" w:rsidP="00F33612">
      <w:pPr>
        <w:jc w:val="both"/>
        <w:rPr>
          <w:sz w:val="24"/>
          <w:szCs w:val="24"/>
        </w:rPr>
      </w:pPr>
    </w:p>
    <w:p w14:paraId="1D06F652" w14:textId="77777777" w:rsidR="007066E3" w:rsidRDefault="007066E3" w:rsidP="00F33612">
      <w:pPr>
        <w:jc w:val="both"/>
        <w:rPr>
          <w:sz w:val="24"/>
          <w:szCs w:val="24"/>
        </w:rPr>
      </w:pPr>
    </w:p>
    <w:p w14:paraId="1D06F653" w14:textId="77777777" w:rsidR="007066E3" w:rsidRDefault="007066E3" w:rsidP="00F33612">
      <w:pPr>
        <w:jc w:val="both"/>
        <w:rPr>
          <w:sz w:val="24"/>
          <w:szCs w:val="24"/>
        </w:rPr>
      </w:pPr>
    </w:p>
    <w:p w14:paraId="1D06F654" w14:textId="77777777" w:rsidR="007066E3" w:rsidRDefault="007066E3" w:rsidP="00F33612">
      <w:pPr>
        <w:jc w:val="both"/>
        <w:rPr>
          <w:sz w:val="24"/>
          <w:szCs w:val="24"/>
        </w:rPr>
      </w:pPr>
    </w:p>
    <w:p w14:paraId="1D06F655" w14:textId="77777777" w:rsidR="007066E3" w:rsidRDefault="007066E3" w:rsidP="00F33612">
      <w:pPr>
        <w:jc w:val="both"/>
        <w:rPr>
          <w:sz w:val="24"/>
          <w:szCs w:val="24"/>
        </w:rPr>
      </w:pPr>
    </w:p>
    <w:p w14:paraId="1D06F656" w14:textId="77777777" w:rsidR="007066E3" w:rsidRDefault="007066E3" w:rsidP="00F33612">
      <w:pPr>
        <w:jc w:val="both"/>
        <w:rPr>
          <w:sz w:val="24"/>
          <w:szCs w:val="24"/>
        </w:rPr>
      </w:pPr>
    </w:p>
    <w:p w14:paraId="1D06F657" w14:textId="77777777" w:rsidR="007066E3" w:rsidRDefault="007066E3" w:rsidP="00F33612">
      <w:pPr>
        <w:jc w:val="both"/>
        <w:rPr>
          <w:sz w:val="24"/>
          <w:szCs w:val="24"/>
        </w:rPr>
      </w:pPr>
    </w:p>
    <w:p w14:paraId="1D06F659" w14:textId="77777777" w:rsidR="007066E3" w:rsidRDefault="007066E3" w:rsidP="00F33612">
      <w:pPr>
        <w:jc w:val="both"/>
        <w:rPr>
          <w:sz w:val="24"/>
          <w:szCs w:val="24"/>
        </w:rPr>
      </w:pPr>
      <w:bookmarkStart w:id="2" w:name="_GoBack"/>
      <w:bookmarkEnd w:id="2"/>
    </w:p>
    <w:sectPr w:rsidR="007066E3" w:rsidSect="00B83CE8">
      <w:headerReference w:type="first" r:id="rId8"/>
      <w:pgSz w:w="11907" w:h="16839" w:code="9"/>
      <w:pgMar w:top="1105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6F589" w14:textId="77777777" w:rsidR="002020DF" w:rsidRDefault="002020DF" w:rsidP="00F41647">
      <w:r>
        <w:separator/>
      </w:r>
    </w:p>
  </w:endnote>
  <w:endnote w:type="continuationSeparator" w:id="0">
    <w:p w14:paraId="7D048507" w14:textId="77777777" w:rsidR="002020DF" w:rsidRDefault="002020D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2EB55" w14:textId="77777777" w:rsidR="002020DF" w:rsidRDefault="002020DF" w:rsidP="00F41647">
      <w:r>
        <w:separator/>
      </w:r>
    </w:p>
  </w:footnote>
  <w:footnote w:type="continuationSeparator" w:id="0">
    <w:p w14:paraId="5538F16A" w14:textId="77777777" w:rsidR="002020DF" w:rsidRDefault="002020D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6F663" w14:textId="0BBF5541" w:rsidR="00774093" w:rsidRPr="00A72A47" w:rsidRDefault="00494D5A" w:rsidP="00494D5A">
    <w:pPr>
      <w:pStyle w:val="Antrats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64979" wp14:editId="54F03840">
          <wp:simplePos x="0" y="0"/>
          <wp:positionH relativeFrom="column">
            <wp:posOffset>2637790</wp:posOffset>
          </wp:positionH>
          <wp:positionV relativeFrom="paragraph">
            <wp:posOffset>352425</wp:posOffset>
          </wp:positionV>
          <wp:extent cx="548640" cy="683895"/>
          <wp:effectExtent l="0" t="0" r="3810" b="1905"/>
          <wp:wrapSquare wrapText="left"/>
          <wp:docPr id="2" name="Paveikslėlis 2" descr="herbasklp_juodas(blankam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herbasklp_juodas(blankam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EA3"/>
    <w:multiLevelType w:val="multilevel"/>
    <w:tmpl w:val="57945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C7800"/>
    <w:rsid w:val="000E6C34"/>
    <w:rsid w:val="001032AC"/>
    <w:rsid w:val="00130E28"/>
    <w:rsid w:val="00133102"/>
    <w:rsid w:val="001444C8"/>
    <w:rsid w:val="001456CE"/>
    <w:rsid w:val="00163473"/>
    <w:rsid w:val="001B01B1"/>
    <w:rsid w:val="001D1AE7"/>
    <w:rsid w:val="002020DF"/>
    <w:rsid w:val="0020233B"/>
    <w:rsid w:val="00237B69"/>
    <w:rsid w:val="00242B88"/>
    <w:rsid w:val="0025029A"/>
    <w:rsid w:val="00276B28"/>
    <w:rsid w:val="00291226"/>
    <w:rsid w:val="002926D3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23FC3"/>
    <w:rsid w:val="00433CCC"/>
    <w:rsid w:val="00445CA9"/>
    <w:rsid w:val="004545AD"/>
    <w:rsid w:val="00472954"/>
    <w:rsid w:val="00483D2F"/>
    <w:rsid w:val="00494D5A"/>
    <w:rsid w:val="00496D98"/>
    <w:rsid w:val="004A6B94"/>
    <w:rsid w:val="00524DA3"/>
    <w:rsid w:val="0053201C"/>
    <w:rsid w:val="0054047E"/>
    <w:rsid w:val="00550A51"/>
    <w:rsid w:val="00576CF7"/>
    <w:rsid w:val="005A3D21"/>
    <w:rsid w:val="005C29DF"/>
    <w:rsid w:val="005C73A8"/>
    <w:rsid w:val="00606132"/>
    <w:rsid w:val="00664949"/>
    <w:rsid w:val="006A09D2"/>
    <w:rsid w:val="006A3D46"/>
    <w:rsid w:val="006B429F"/>
    <w:rsid w:val="006E106A"/>
    <w:rsid w:val="006F416F"/>
    <w:rsid w:val="006F4715"/>
    <w:rsid w:val="00701896"/>
    <w:rsid w:val="007066E3"/>
    <w:rsid w:val="00710820"/>
    <w:rsid w:val="00774093"/>
    <w:rsid w:val="007775F7"/>
    <w:rsid w:val="00801E4F"/>
    <w:rsid w:val="008623E9"/>
    <w:rsid w:val="00864F6F"/>
    <w:rsid w:val="0087526F"/>
    <w:rsid w:val="008A7D60"/>
    <w:rsid w:val="008C6BDA"/>
    <w:rsid w:val="008D3E3C"/>
    <w:rsid w:val="008D69DD"/>
    <w:rsid w:val="008E411C"/>
    <w:rsid w:val="008F665C"/>
    <w:rsid w:val="008F77DE"/>
    <w:rsid w:val="00932DDD"/>
    <w:rsid w:val="009C37F7"/>
    <w:rsid w:val="009F2650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32368"/>
    <w:rsid w:val="00B40258"/>
    <w:rsid w:val="00B57B1F"/>
    <w:rsid w:val="00B72527"/>
    <w:rsid w:val="00B7320C"/>
    <w:rsid w:val="00B83CE8"/>
    <w:rsid w:val="00BB07E2"/>
    <w:rsid w:val="00BD576A"/>
    <w:rsid w:val="00BE48DE"/>
    <w:rsid w:val="00C02784"/>
    <w:rsid w:val="00C16E65"/>
    <w:rsid w:val="00C70A51"/>
    <w:rsid w:val="00C73DF4"/>
    <w:rsid w:val="00C801C8"/>
    <w:rsid w:val="00CA7B58"/>
    <w:rsid w:val="00CB3E22"/>
    <w:rsid w:val="00D51EEB"/>
    <w:rsid w:val="00D568F3"/>
    <w:rsid w:val="00D81831"/>
    <w:rsid w:val="00DE0BFB"/>
    <w:rsid w:val="00E01909"/>
    <w:rsid w:val="00E37B92"/>
    <w:rsid w:val="00E65B25"/>
    <w:rsid w:val="00E96582"/>
    <w:rsid w:val="00EA65AF"/>
    <w:rsid w:val="00EC10BA"/>
    <w:rsid w:val="00EC4BC7"/>
    <w:rsid w:val="00EC5237"/>
    <w:rsid w:val="00ED1DA5"/>
    <w:rsid w:val="00ED3397"/>
    <w:rsid w:val="00F120AE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F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Kristina Dulneviene</cp:lastModifiedBy>
  <cp:revision>3</cp:revision>
  <cp:lastPrinted>2012-10-24T08:17:00Z</cp:lastPrinted>
  <dcterms:created xsi:type="dcterms:W3CDTF">2012-10-24T08:08:00Z</dcterms:created>
  <dcterms:modified xsi:type="dcterms:W3CDTF">2012-10-24T08:18:00Z</dcterms:modified>
</cp:coreProperties>
</file>