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2341" w:tblpY="225"/>
        <w:tblW w:w="0" w:type="auto"/>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A0"/>
      </w:tblPr>
      <w:tblGrid>
        <w:gridCol w:w="3038"/>
        <w:gridCol w:w="1623"/>
        <w:gridCol w:w="1908"/>
        <w:gridCol w:w="1584"/>
      </w:tblGrid>
      <w:tr w:rsidR="008A62DD" w:rsidRPr="00085C4B" w:rsidTr="00AB0398">
        <w:tc>
          <w:tcPr>
            <w:tcW w:w="0" w:type="auto"/>
            <w:gridSpan w:val="4"/>
            <w:tcBorders>
              <w:top w:val="nil"/>
              <w:left w:val="nil"/>
              <w:bottom w:val="nil"/>
              <w:right w:val="nil"/>
            </w:tcBorders>
            <w:noWrap/>
            <w:vAlign w:val="center"/>
          </w:tcPr>
          <w:p w:rsidR="008A62DD" w:rsidRPr="00AB0398" w:rsidRDefault="008A62DD" w:rsidP="00AB0398">
            <w:pPr>
              <w:spacing w:after="240" w:line="240" w:lineRule="auto"/>
              <w:jc w:val="center"/>
              <w:textAlignment w:val="top"/>
              <w:rPr>
                <w:rFonts w:ascii="Tahoma" w:hAnsi="Tahoma" w:cs="Tahoma"/>
                <w:b/>
                <w:bCs/>
                <w:sz w:val="14"/>
                <w:szCs w:val="14"/>
                <w:lang w:eastAsia="lt-LT"/>
              </w:rPr>
            </w:pPr>
            <w:r w:rsidRPr="00AB0398">
              <w:rPr>
                <w:rFonts w:ascii="Tahoma" w:hAnsi="Tahoma" w:cs="Tahoma"/>
                <w:b/>
                <w:bCs/>
                <w:sz w:val="14"/>
                <w:szCs w:val="14"/>
                <w:lang w:eastAsia="lt-LT"/>
              </w:rPr>
              <w:t>Socialinės paramos mokiniams įstatymas</w:t>
            </w:r>
          </w:p>
        </w:tc>
      </w:tr>
      <w:tr w:rsidR="008A62DD" w:rsidRPr="00085C4B" w:rsidTr="00AB0398">
        <w:tc>
          <w:tcPr>
            <w:tcW w:w="0" w:type="auto"/>
            <w:tcBorders>
              <w:top w:val="single" w:sz="6" w:space="0" w:color="000000"/>
              <w:bottom w:val="single" w:sz="6" w:space="0" w:color="000000"/>
              <w:right w:val="single" w:sz="6" w:space="0" w:color="000000"/>
            </w:tcBorders>
            <w:noWrap/>
          </w:tcPr>
          <w:p w:rsidR="008A62DD" w:rsidRPr="00AB0398" w:rsidRDefault="008A62DD" w:rsidP="00AB0398">
            <w:pPr>
              <w:spacing w:after="0" w:line="240" w:lineRule="auto"/>
              <w:rPr>
                <w:rFonts w:ascii="Tahoma" w:hAnsi="Tahoma" w:cs="Tahoma"/>
                <w:sz w:val="14"/>
                <w:szCs w:val="14"/>
                <w:lang w:eastAsia="lt-LT"/>
              </w:rPr>
            </w:pPr>
            <w:r w:rsidRPr="00AB0398">
              <w:rPr>
                <w:rFonts w:ascii="Tahoma" w:hAnsi="Tahoma" w:cs="Tahoma"/>
                <w:sz w:val="14"/>
                <w:szCs w:val="14"/>
                <w:lang w:eastAsia="lt-LT"/>
              </w:rPr>
              <w:t xml:space="preserve">Rūšis: </w:t>
            </w:r>
            <w:r w:rsidRPr="00AB0398">
              <w:rPr>
                <w:rFonts w:ascii="Tahoma" w:hAnsi="Tahoma" w:cs="Tahoma"/>
                <w:b/>
                <w:bCs/>
                <w:sz w:val="14"/>
                <w:szCs w:val="14"/>
                <w:lang w:eastAsia="lt-LT"/>
              </w:rPr>
              <w:t xml:space="preserve">Aktuali redakcija </w:t>
            </w:r>
          </w:p>
        </w:tc>
        <w:tc>
          <w:tcPr>
            <w:tcW w:w="0" w:type="auto"/>
            <w:tcBorders>
              <w:top w:val="single" w:sz="6" w:space="0" w:color="000000"/>
              <w:left w:val="single" w:sz="6" w:space="0" w:color="000000"/>
              <w:bottom w:val="single" w:sz="6" w:space="0" w:color="000000"/>
              <w:right w:val="single" w:sz="6" w:space="0" w:color="000000"/>
            </w:tcBorders>
            <w:noWrap/>
          </w:tcPr>
          <w:p w:rsidR="008A62DD" w:rsidRPr="00AB0398" w:rsidRDefault="008A62DD" w:rsidP="00AB0398">
            <w:pPr>
              <w:spacing w:after="0" w:line="240" w:lineRule="auto"/>
              <w:rPr>
                <w:rFonts w:ascii="Tahoma" w:hAnsi="Tahoma" w:cs="Tahoma"/>
                <w:sz w:val="14"/>
                <w:szCs w:val="14"/>
                <w:lang w:eastAsia="lt-LT"/>
              </w:rPr>
            </w:pPr>
            <w:r w:rsidRPr="00AB0398">
              <w:rPr>
                <w:rFonts w:ascii="Tahoma" w:hAnsi="Tahoma" w:cs="Tahoma"/>
                <w:sz w:val="14"/>
                <w:szCs w:val="14"/>
                <w:lang w:eastAsia="lt-LT"/>
              </w:rPr>
              <w:t xml:space="preserve">Numeris: </w:t>
            </w:r>
            <w:r w:rsidRPr="00AB0398">
              <w:rPr>
                <w:rFonts w:ascii="Tahoma" w:hAnsi="Tahoma" w:cs="Tahoma"/>
                <w:b/>
                <w:bCs/>
                <w:sz w:val="14"/>
                <w:szCs w:val="14"/>
                <w:lang w:eastAsia="lt-LT"/>
              </w:rPr>
              <w:t xml:space="preserve">X-686 </w:t>
            </w:r>
          </w:p>
        </w:tc>
        <w:tc>
          <w:tcPr>
            <w:tcW w:w="0" w:type="auto"/>
            <w:tcBorders>
              <w:top w:val="single" w:sz="6" w:space="0" w:color="000000"/>
              <w:left w:val="single" w:sz="6" w:space="0" w:color="000000"/>
              <w:bottom w:val="single" w:sz="6" w:space="0" w:color="000000"/>
              <w:right w:val="single" w:sz="6" w:space="0" w:color="000000"/>
            </w:tcBorders>
          </w:tcPr>
          <w:p w:rsidR="008A62DD" w:rsidRPr="00AB0398" w:rsidRDefault="008A62DD" w:rsidP="00AB0398">
            <w:pPr>
              <w:spacing w:after="0" w:line="240" w:lineRule="auto"/>
              <w:rPr>
                <w:rFonts w:ascii="Tahoma" w:hAnsi="Tahoma" w:cs="Tahoma"/>
                <w:sz w:val="14"/>
                <w:szCs w:val="14"/>
                <w:lang w:eastAsia="lt-LT"/>
              </w:rPr>
            </w:pPr>
            <w:r w:rsidRPr="00AB0398">
              <w:rPr>
                <w:rFonts w:ascii="Tahoma" w:hAnsi="Tahoma" w:cs="Tahoma"/>
                <w:sz w:val="14"/>
                <w:szCs w:val="14"/>
                <w:lang w:eastAsia="lt-LT"/>
              </w:rPr>
              <w:t xml:space="preserve">Data: </w:t>
            </w:r>
            <w:r w:rsidRPr="00AB0398">
              <w:rPr>
                <w:rFonts w:ascii="Tahoma" w:hAnsi="Tahoma" w:cs="Tahoma"/>
                <w:b/>
                <w:bCs/>
                <w:sz w:val="14"/>
                <w:szCs w:val="14"/>
                <w:lang w:eastAsia="lt-LT"/>
              </w:rPr>
              <w:t xml:space="preserve">2011-12-01 </w:t>
            </w:r>
          </w:p>
        </w:tc>
        <w:tc>
          <w:tcPr>
            <w:tcW w:w="0" w:type="auto"/>
            <w:tcBorders>
              <w:top w:val="single" w:sz="6" w:space="0" w:color="000000"/>
              <w:left w:val="single" w:sz="6" w:space="0" w:color="000000"/>
              <w:bottom w:val="single" w:sz="6" w:space="0" w:color="000000"/>
            </w:tcBorders>
          </w:tcPr>
          <w:p w:rsidR="008A62DD" w:rsidRPr="00AB0398" w:rsidRDefault="008A62DD" w:rsidP="00AB0398">
            <w:pPr>
              <w:spacing w:after="0" w:line="240" w:lineRule="auto"/>
              <w:rPr>
                <w:rFonts w:ascii="Tahoma" w:hAnsi="Tahoma" w:cs="Tahoma"/>
                <w:sz w:val="14"/>
                <w:szCs w:val="14"/>
                <w:lang w:eastAsia="lt-LT"/>
              </w:rPr>
            </w:pPr>
            <w:r w:rsidRPr="00AB0398">
              <w:rPr>
                <w:rFonts w:ascii="Tahoma" w:hAnsi="Tahoma" w:cs="Tahoma"/>
                <w:sz w:val="14"/>
                <w:szCs w:val="14"/>
                <w:lang w:eastAsia="lt-LT"/>
              </w:rPr>
              <w:t xml:space="preserve">Kalba: </w:t>
            </w:r>
            <w:r w:rsidRPr="00AB0398">
              <w:rPr>
                <w:rFonts w:ascii="Tahoma" w:hAnsi="Tahoma" w:cs="Tahoma"/>
                <w:b/>
                <w:bCs/>
                <w:sz w:val="14"/>
                <w:szCs w:val="14"/>
                <w:lang w:eastAsia="lt-LT"/>
              </w:rPr>
              <w:t xml:space="preserve">Lietuvių </w:t>
            </w:r>
          </w:p>
        </w:tc>
      </w:tr>
      <w:tr w:rsidR="008A62DD" w:rsidRPr="00085C4B" w:rsidTr="00AB0398">
        <w:tc>
          <w:tcPr>
            <w:tcW w:w="0" w:type="auto"/>
            <w:gridSpan w:val="2"/>
            <w:tcBorders>
              <w:top w:val="single" w:sz="6" w:space="0" w:color="000000"/>
              <w:bottom w:val="single" w:sz="6" w:space="0" w:color="000000"/>
              <w:right w:val="single" w:sz="6" w:space="0" w:color="000000"/>
            </w:tcBorders>
          </w:tcPr>
          <w:p w:rsidR="008A62DD" w:rsidRPr="00AB0398" w:rsidRDefault="008A62DD" w:rsidP="00AB0398">
            <w:pPr>
              <w:spacing w:after="0" w:line="240" w:lineRule="auto"/>
              <w:rPr>
                <w:rFonts w:ascii="Tahoma" w:hAnsi="Tahoma" w:cs="Tahoma"/>
                <w:sz w:val="14"/>
                <w:szCs w:val="14"/>
                <w:lang w:eastAsia="lt-LT"/>
              </w:rPr>
            </w:pPr>
            <w:r w:rsidRPr="00AB0398">
              <w:rPr>
                <w:rFonts w:ascii="Tahoma" w:hAnsi="Tahoma" w:cs="Tahoma"/>
                <w:sz w:val="14"/>
                <w:szCs w:val="14"/>
                <w:lang w:eastAsia="lt-LT"/>
              </w:rPr>
              <w:t xml:space="preserve">Publikavimas: </w:t>
            </w:r>
          </w:p>
        </w:tc>
        <w:tc>
          <w:tcPr>
            <w:tcW w:w="0" w:type="auto"/>
            <w:gridSpan w:val="2"/>
            <w:tcBorders>
              <w:top w:val="single" w:sz="6" w:space="0" w:color="000000"/>
              <w:left w:val="single" w:sz="6" w:space="0" w:color="000000"/>
              <w:bottom w:val="single" w:sz="6" w:space="0" w:color="000000"/>
            </w:tcBorders>
          </w:tcPr>
          <w:p w:rsidR="008A62DD" w:rsidRPr="00AB0398" w:rsidRDefault="008A62DD" w:rsidP="00AB0398">
            <w:pPr>
              <w:spacing w:after="0" w:line="240" w:lineRule="auto"/>
              <w:rPr>
                <w:rFonts w:ascii="Tahoma" w:hAnsi="Tahoma" w:cs="Tahoma"/>
                <w:sz w:val="14"/>
                <w:szCs w:val="14"/>
                <w:lang w:eastAsia="lt-LT"/>
              </w:rPr>
            </w:pPr>
            <w:r w:rsidRPr="00AB0398">
              <w:rPr>
                <w:rFonts w:ascii="Tahoma" w:hAnsi="Tahoma" w:cs="Tahoma"/>
                <w:sz w:val="14"/>
                <w:szCs w:val="14"/>
                <w:lang w:eastAsia="lt-LT"/>
              </w:rPr>
              <w:t xml:space="preserve">Statusas: </w:t>
            </w:r>
            <w:r w:rsidRPr="00AB0398">
              <w:rPr>
                <w:rFonts w:ascii="Tahoma" w:hAnsi="Tahoma" w:cs="Tahoma"/>
                <w:b/>
                <w:bCs/>
                <w:sz w:val="14"/>
                <w:szCs w:val="14"/>
                <w:lang w:eastAsia="lt-LT"/>
              </w:rPr>
              <w:t>Aktuali 2012-01-01</w:t>
            </w:r>
          </w:p>
        </w:tc>
      </w:tr>
      <w:tr w:rsidR="008A62DD" w:rsidRPr="00085C4B" w:rsidTr="00AB0398">
        <w:tc>
          <w:tcPr>
            <w:tcW w:w="0" w:type="auto"/>
            <w:gridSpan w:val="4"/>
            <w:tcBorders>
              <w:top w:val="single" w:sz="6" w:space="0" w:color="000000"/>
              <w:bottom w:val="single" w:sz="6" w:space="0" w:color="000000"/>
            </w:tcBorders>
          </w:tcPr>
          <w:p w:rsidR="008A62DD" w:rsidRPr="00AB0398" w:rsidRDefault="008A62DD" w:rsidP="00AB0398">
            <w:pPr>
              <w:spacing w:after="0" w:line="240" w:lineRule="auto"/>
              <w:rPr>
                <w:rFonts w:ascii="Tahoma" w:hAnsi="Tahoma" w:cs="Tahoma"/>
                <w:sz w:val="14"/>
                <w:szCs w:val="14"/>
                <w:lang w:eastAsia="lt-LT"/>
              </w:rPr>
            </w:pPr>
            <w:r w:rsidRPr="00AB0398">
              <w:rPr>
                <w:rFonts w:ascii="Tahoma" w:hAnsi="Tahoma" w:cs="Tahoma"/>
                <w:b/>
                <w:bCs/>
                <w:sz w:val="14"/>
                <w:szCs w:val="14"/>
                <w:lang w:eastAsia="lt-LT"/>
              </w:rPr>
              <w:t>2011-12-01 Teisės aktą priėmė - Lietuvos Respublikos Seimas</w:t>
            </w:r>
            <w:r w:rsidRPr="00AB0398">
              <w:rPr>
                <w:rFonts w:ascii="Tahoma" w:hAnsi="Tahoma" w:cs="Tahoma"/>
                <w:sz w:val="14"/>
                <w:szCs w:val="14"/>
                <w:lang w:eastAsia="lt-LT"/>
              </w:rPr>
              <w:t xml:space="preserve"> </w:t>
            </w:r>
            <w:hyperlink r:id="rId4" w:tooltip="Daugiau informacijos apie ryšius" w:history="1">
              <w:r w:rsidRPr="00AB0398">
                <w:rPr>
                  <w:rFonts w:ascii="Tahoma" w:hAnsi="Tahoma" w:cs="Tahoma"/>
                  <w:color w:val="0000FF"/>
                  <w:sz w:val="14"/>
                  <w:szCs w:val="14"/>
                  <w:u w:val="single"/>
                  <w:lang w:eastAsia="lt-LT"/>
                </w:rPr>
                <w:t>&gt;&gt;</w:t>
              </w:r>
            </w:hyperlink>
          </w:p>
        </w:tc>
      </w:tr>
      <w:tr w:rsidR="008A62DD" w:rsidRPr="00085C4B" w:rsidTr="00AB0398">
        <w:tc>
          <w:tcPr>
            <w:tcW w:w="0" w:type="auto"/>
            <w:gridSpan w:val="4"/>
            <w:tcBorders>
              <w:top w:val="single" w:sz="6" w:space="0" w:color="000000"/>
              <w:bottom w:val="single" w:sz="6" w:space="0" w:color="000000"/>
            </w:tcBorders>
            <w:noWrap/>
          </w:tcPr>
          <w:p w:rsidR="008A62DD" w:rsidRPr="00AB0398" w:rsidRDefault="008A62DD" w:rsidP="00AB0398">
            <w:pPr>
              <w:spacing w:after="0" w:line="240" w:lineRule="auto"/>
              <w:rPr>
                <w:rFonts w:ascii="Tahoma" w:hAnsi="Tahoma" w:cs="Tahoma"/>
                <w:sz w:val="14"/>
                <w:szCs w:val="14"/>
                <w:lang w:eastAsia="lt-LT"/>
              </w:rPr>
            </w:pPr>
            <w:hyperlink r:id="rId5" w:history="1">
              <w:r w:rsidRPr="00AB0398">
                <w:rPr>
                  <w:rFonts w:ascii="Tahoma" w:hAnsi="Tahoma" w:cs="Tahoma"/>
                  <w:color w:val="0000FF"/>
                  <w:sz w:val="14"/>
                  <w:szCs w:val="14"/>
                  <w:u w:val="single"/>
                  <w:lang w:eastAsia="lt-LT"/>
                </w:rPr>
                <w:t>Susiję dokumentai</w:t>
              </w:r>
            </w:hyperlink>
            <w:r w:rsidRPr="00AB0398">
              <w:rPr>
                <w:rFonts w:ascii="Tahoma" w:hAnsi="Tahoma" w:cs="Tahoma"/>
                <w:sz w:val="14"/>
                <w:szCs w:val="14"/>
                <w:lang w:eastAsia="lt-LT"/>
              </w:rPr>
              <w:t xml:space="preserve"> </w:t>
            </w:r>
            <w:hyperlink r:id="rId6" w:history="1">
              <w:r w:rsidRPr="00AB0398">
                <w:rPr>
                  <w:rFonts w:ascii="Tahoma" w:hAnsi="Tahoma" w:cs="Tahoma"/>
                  <w:color w:val="0000FF"/>
                  <w:sz w:val="14"/>
                  <w:szCs w:val="14"/>
                  <w:u w:val="single"/>
                  <w:lang w:eastAsia="lt-LT"/>
                </w:rPr>
                <w:t>Vertimai</w:t>
              </w:r>
            </w:hyperlink>
            <w:r w:rsidRPr="00AB0398">
              <w:rPr>
                <w:rFonts w:ascii="Tahoma" w:hAnsi="Tahoma" w:cs="Tahoma"/>
                <w:sz w:val="14"/>
                <w:szCs w:val="14"/>
                <w:lang w:eastAsia="lt-LT"/>
              </w:rPr>
              <w:t xml:space="preserve"> </w:t>
            </w:r>
          </w:p>
        </w:tc>
      </w:tr>
      <w:tr w:rsidR="008A62DD" w:rsidRPr="00085C4B" w:rsidTr="00AB0398">
        <w:tc>
          <w:tcPr>
            <w:tcW w:w="0" w:type="auto"/>
            <w:noWrap/>
          </w:tcPr>
          <w:p w:rsidR="008A62DD" w:rsidRPr="00AB0398" w:rsidRDefault="008A62DD" w:rsidP="00AB0398">
            <w:pPr>
              <w:spacing w:after="0" w:line="240" w:lineRule="auto"/>
              <w:rPr>
                <w:rFonts w:ascii="Tahoma" w:hAnsi="Tahoma" w:cs="Tahoma"/>
                <w:sz w:val="14"/>
                <w:szCs w:val="14"/>
                <w:lang w:eastAsia="lt-LT"/>
              </w:rPr>
            </w:pPr>
            <w:hyperlink r:id="rId7" w:tooltip="Dokumentas" w:history="1">
              <w:r w:rsidRPr="00AB0398">
                <w:rPr>
                  <w:rFonts w:ascii="Tahoma" w:hAnsi="Tahoma" w:cs="Tahoma"/>
                  <w:b/>
                  <w:bCs/>
                  <w:color w:val="FF0000"/>
                  <w:sz w:val="14"/>
                  <w:szCs w:val="14"/>
                  <w:u w:val="single"/>
                  <w:lang w:eastAsia="lt-LT"/>
                </w:rPr>
                <w:t>Word 2003 dokumentas</w:t>
              </w:r>
            </w:hyperlink>
            <w:r w:rsidRPr="00AB0398">
              <w:rPr>
                <w:rFonts w:ascii="Tahoma" w:hAnsi="Tahoma" w:cs="Tahoma"/>
                <w:sz w:val="14"/>
                <w:szCs w:val="14"/>
                <w:lang w:eastAsia="lt-LT"/>
              </w:rPr>
              <w:t xml:space="preserve"> </w:t>
            </w:r>
            <w:hyperlink r:id="rId8" w:tooltip="Dokumentas" w:history="1">
              <w:r w:rsidRPr="00085C4B">
                <w:rPr>
                  <w:rFonts w:ascii="Tahoma" w:hAnsi="Tahoma" w:cs="Tahoma"/>
                  <w:noProof/>
                  <w:color w:val="000000"/>
                  <w:sz w:val="14"/>
                  <w:szCs w:val="14"/>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Dokumentas" href="http://www3.lrs.lt/pls/inter3/dokpaieska.showdoc_bin?p_id=4151" title="Dokumentas" style="width:12pt;height:12pt;visibility:visible" o:button="t">
                    <v:fill o:detectmouseclick="t"/>
                    <v:imagedata r:id="rId9" o:title=""/>
                  </v:shape>
                </w:pict>
              </w:r>
            </w:hyperlink>
          </w:p>
        </w:tc>
        <w:tc>
          <w:tcPr>
            <w:tcW w:w="0" w:type="auto"/>
            <w:vAlign w:val="center"/>
          </w:tcPr>
          <w:p w:rsidR="008A62DD" w:rsidRPr="00AB0398" w:rsidRDefault="008A62DD" w:rsidP="00AB0398">
            <w:pPr>
              <w:spacing w:after="0" w:line="240" w:lineRule="auto"/>
              <w:rPr>
                <w:rFonts w:ascii="TimesLT" w:hAnsi="TimesLT"/>
                <w:sz w:val="20"/>
                <w:szCs w:val="20"/>
                <w:lang w:eastAsia="lt-LT"/>
              </w:rPr>
            </w:pPr>
          </w:p>
        </w:tc>
        <w:tc>
          <w:tcPr>
            <w:tcW w:w="0" w:type="auto"/>
            <w:vAlign w:val="center"/>
          </w:tcPr>
          <w:p w:rsidR="008A62DD" w:rsidRPr="00AB0398" w:rsidRDefault="008A62DD" w:rsidP="00AB0398">
            <w:pPr>
              <w:spacing w:after="0" w:line="240" w:lineRule="auto"/>
              <w:rPr>
                <w:rFonts w:ascii="TimesLT" w:hAnsi="TimesLT"/>
                <w:sz w:val="20"/>
                <w:szCs w:val="20"/>
                <w:lang w:eastAsia="lt-LT"/>
              </w:rPr>
            </w:pPr>
          </w:p>
        </w:tc>
        <w:tc>
          <w:tcPr>
            <w:tcW w:w="0" w:type="auto"/>
            <w:vAlign w:val="center"/>
          </w:tcPr>
          <w:p w:rsidR="008A62DD" w:rsidRPr="00AB0398" w:rsidRDefault="008A62DD" w:rsidP="00AB0398">
            <w:pPr>
              <w:spacing w:after="0" w:line="240" w:lineRule="auto"/>
              <w:rPr>
                <w:rFonts w:ascii="TimesLT" w:hAnsi="TimesLT"/>
                <w:sz w:val="20"/>
                <w:szCs w:val="20"/>
                <w:lang w:eastAsia="lt-LT"/>
              </w:rPr>
            </w:pPr>
          </w:p>
        </w:tc>
      </w:tr>
      <w:tr w:rsidR="008A62DD" w:rsidRPr="00085C4B" w:rsidTr="00AB0398">
        <w:tc>
          <w:tcPr>
            <w:tcW w:w="0" w:type="auto"/>
            <w:gridSpan w:val="4"/>
            <w:tcBorders>
              <w:top w:val="single" w:sz="6" w:space="0" w:color="000000"/>
              <w:bottom w:val="single" w:sz="6" w:space="0" w:color="000000"/>
            </w:tcBorders>
          </w:tcPr>
          <w:p w:rsidR="008A62DD" w:rsidRPr="00AB0398" w:rsidRDefault="008A62DD" w:rsidP="00AB0398">
            <w:pPr>
              <w:spacing w:after="0" w:line="240" w:lineRule="auto"/>
              <w:rPr>
                <w:rFonts w:ascii="Tahoma" w:hAnsi="Tahoma" w:cs="Tahoma"/>
                <w:sz w:val="14"/>
                <w:szCs w:val="14"/>
                <w:lang w:eastAsia="lt-LT"/>
              </w:rPr>
            </w:pPr>
            <w:r w:rsidRPr="00AB0398">
              <w:rPr>
                <w:rFonts w:ascii="Tahoma" w:hAnsi="Tahoma" w:cs="Tahoma"/>
                <w:sz w:val="14"/>
                <w:szCs w:val="14"/>
                <w:lang w:eastAsia="lt-LT"/>
              </w:rPr>
              <w:t>Eurovoc 4.2 terminai:</w:t>
            </w:r>
            <w:r w:rsidRPr="00AB0398">
              <w:rPr>
                <w:rFonts w:ascii="Tahoma" w:hAnsi="Tahoma" w:cs="Tahoma"/>
                <w:b/>
                <w:bCs/>
                <w:sz w:val="14"/>
                <w:szCs w:val="14"/>
                <w:lang w:eastAsia="lt-LT"/>
              </w:rPr>
              <w:t xml:space="preserve"> mokinys, pašalpa mokymuisi, socialinė apsauga, socialinė pašalpa šeimai, stipendija mokymuisi</w:t>
            </w:r>
          </w:p>
        </w:tc>
      </w:tr>
    </w:tbl>
    <w:p w:rsidR="008A62DD" w:rsidRPr="00AB0398" w:rsidRDefault="008A62DD" w:rsidP="00AB0398">
      <w:pPr>
        <w:spacing w:after="0" w:line="240" w:lineRule="auto"/>
        <w:rPr>
          <w:rFonts w:ascii="Tahoma" w:hAnsi="Tahoma" w:cs="Tahoma"/>
          <w:vanish/>
          <w:sz w:val="18"/>
          <w:szCs w:val="18"/>
          <w:lang w:eastAsia="lt-LT"/>
        </w:rPr>
      </w:pPr>
    </w:p>
    <w:tbl>
      <w:tblPr>
        <w:tblW w:w="5000" w:type="pct"/>
        <w:tblCellSpacing w:w="0" w:type="dxa"/>
        <w:tblCellMar>
          <w:left w:w="0" w:type="dxa"/>
          <w:right w:w="0" w:type="dxa"/>
        </w:tblCellMar>
        <w:tblLook w:val="00A0"/>
      </w:tblPr>
      <w:tblGrid>
        <w:gridCol w:w="9294"/>
        <w:gridCol w:w="344"/>
      </w:tblGrid>
      <w:tr w:rsidR="008A62DD" w:rsidRPr="00085C4B" w:rsidTr="00AB0398">
        <w:trPr>
          <w:tblCellSpacing w:w="0" w:type="dxa"/>
        </w:trPr>
        <w:tc>
          <w:tcPr>
            <w:tcW w:w="0" w:type="auto"/>
          </w:tcPr>
          <w:p w:rsidR="008A62DD" w:rsidRPr="00AB0398" w:rsidRDefault="008A62DD" w:rsidP="00AB0398">
            <w:pPr>
              <w:spacing w:after="0" w:line="240" w:lineRule="auto"/>
              <w:jc w:val="right"/>
              <w:rPr>
                <w:rFonts w:ascii="Times New Roman" w:hAnsi="Times New Roman"/>
                <w:b/>
                <w:sz w:val="18"/>
                <w:szCs w:val="18"/>
                <w:lang w:eastAsia="lt-LT"/>
              </w:rPr>
            </w:pPr>
            <w:r w:rsidRPr="00AB0398">
              <w:rPr>
                <w:rFonts w:ascii="Times New Roman" w:hAnsi="Times New Roman"/>
                <w:b/>
                <w:sz w:val="18"/>
                <w:szCs w:val="18"/>
                <w:lang w:eastAsia="lt-LT"/>
              </w:rPr>
              <w:t>Išrašas</w:t>
            </w:r>
          </w:p>
        </w:tc>
        <w:tc>
          <w:tcPr>
            <w:tcW w:w="0" w:type="auto"/>
          </w:tcPr>
          <w:p w:rsidR="008A62DD" w:rsidRPr="00AB0398" w:rsidRDefault="008A62DD" w:rsidP="00AB0398">
            <w:pPr>
              <w:spacing w:after="0" w:line="240" w:lineRule="auto"/>
              <w:jc w:val="right"/>
              <w:rPr>
                <w:rFonts w:ascii="Tahoma" w:hAnsi="Tahoma" w:cs="Tahoma"/>
                <w:sz w:val="14"/>
                <w:szCs w:val="14"/>
                <w:lang w:eastAsia="lt-LT"/>
              </w:rPr>
            </w:pPr>
          </w:p>
        </w:tc>
      </w:tr>
    </w:tbl>
    <w:p w:rsidR="008A62DD" w:rsidRPr="00AB0398" w:rsidRDefault="008A62DD" w:rsidP="00AB0398">
      <w:pPr>
        <w:spacing w:after="0" w:line="240" w:lineRule="auto"/>
        <w:rPr>
          <w:rFonts w:ascii="Tahoma" w:hAnsi="Tahoma" w:cs="Tahoma"/>
          <w:sz w:val="18"/>
          <w:szCs w:val="18"/>
          <w:lang w:eastAsia="lt-LT"/>
        </w:rPr>
      </w:pPr>
      <w:r w:rsidRPr="002A33D6">
        <w:rPr>
          <w:rFonts w:ascii="Tahoma" w:hAnsi="Tahoma" w:cs="Tahoma"/>
          <w:sz w:val="18"/>
          <w:szCs w:val="18"/>
          <w:lang w:eastAsia="lt-LT"/>
        </w:rPr>
        <w:pict>
          <v:rect id="_x0000_i1026" style="width:0;height:1.5pt" o:hralign="center" o:hrstd="t" o:hrnoshade="t" o:hr="t" fillcolor="#666" stroked="f"/>
        </w:pict>
      </w:r>
    </w:p>
    <w:p w:rsidR="008A62DD" w:rsidRPr="00AB0398" w:rsidRDefault="008A62DD" w:rsidP="00AB0398">
      <w:pPr>
        <w:spacing w:after="0" w:line="240" w:lineRule="auto"/>
        <w:jc w:val="both"/>
        <w:rPr>
          <w:rFonts w:ascii="TimesLT" w:hAnsi="TimesLT"/>
          <w:sz w:val="24"/>
          <w:szCs w:val="24"/>
          <w:lang w:eastAsia="lt-LT"/>
        </w:rPr>
      </w:pPr>
      <w:r w:rsidRPr="00AB0398">
        <w:rPr>
          <w:rFonts w:ascii="Times New Roman" w:hAnsi="Times New Roman"/>
          <w:sz w:val="20"/>
          <w:szCs w:val="20"/>
          <w:lang w:eastAsia="lt-LT"/>
        </w:rPr>
        <w:t xml:space="preserve">Įstatymas skelbtas: Žin., 2006, Nr. </w:t>
      </w:r>
      <w:hyperlink r:id="rId10" w:history="1">
        <w:r w:rsidRPr="00AB0398">
          <w:rPr>
            <w:rFonts w:ascii="Times New Roman" w:hAnsi="Times New Roman"/>
            <w:color w:val="0000FF"/>
            <w:sz w:val="20"/>
            <w:szCs w:val="20"/>
            <w:u w:val="single"/>
            <w:lang w:eastAsia="lt-LT"/>
          </w:rPr>
          <w:t>73-2755</w:t>
        </w:r>
      </w:hyperlink>
    </w:p>
    <w:p w:rsidR="008A62DD" w:rsidRPr="00AB0398" w:rsidRDefault="008A62DD" w:rsidP="00AB0398">
      <w:pPr>
        <w:spacing w:after="0" w:line="240" w:lineRule="auto"/>
        <w:jc w:val="both"/>
        <w:rPr>
          <w:rFonts w:ascii="TimesLT" w:hAnsi="TimesLT"/>
          <w:sz w:val="24"/>
          <w:szCs w:val="24"/>
          <w:lang w:eastAsia="lt-LT"/>
        </w:rPr>
      </w:pPr>
      <w:r w:rsidRPr="00AB0398">
        <w:rPr>
          <w:rFonts w:ascii="Times New Roman" w:hAnsi="Times New Roman"/>
          <w:sz w:val="20"/>
          <w:szCs w:val="20"/>
          <w:lang w:eastAsia="lt-LT"/>
        </w:rPr>
        <w:t>Neoficialus įstatymo tekstas</w:t>
      </w:r>
    </w:p>
    <w:p w:rsidR="008A62DD" w:rsidRPr="00AB0398" w:rsidRDefault="008A62DD" w:rsidP="00AB0398">
      <w:pPr>
        <w:spacing w:after="0" w:line="240" w:lineRule="auto"/>
        <w:rPr>
          <w:rFonts w:ascii="TimesLT" w:hAnsi="TimesLT" w:cs="Tahoma"/>
          <w:caps/>
          <w:sz w:val="24"/>
          <w:szCs w:val="24"/>
          <w:lang w:eastAsia="lt-LT"/>
        </w:rPr>
      </w:pPr>
      <w:r w:rsidRPr="00AB0398">
        <w:rPr>
          <w:rFonts w:ascii="Times New Roman" w:hAnsi="Times New Roman"/>
          <w:b/>
          <w:bCs/>
          <w:sz w:val="24"/>
          <w:szCs w:val="24"/>
          <w:lang w:eastAsia="lt-LT"/>
        </w:rPr>
        <w:t>Aktuali įstatymo redakcija nuo 2012-01-0</w:t>
      </w:r>
      <w:r w:rsidRPr="00AB0398">
        <w:rPr>
          <w:rFonts w:ascii="Times New Roman" w:hAnsi="Times New Roman"/>
          <w:b/>
          <w:bCs/>
          <w:caps/>
          <w:sz w:val="24"/>
          <w:szCs w:val="24"/>
          <w:lang w:eastAsia="lt-LT"/>
        </w:rPr>
        <w:t>1</w:t>
      </w:r>
    </w:p>
    <w:p w:rsidR="008A62DD" w:rsidRDefault="008A62DD" w:rsidP="00AB0398">
      <w:pPr>
        <w:spacing w:after="0" w:line="240" w:lineRule="auto"/>
        <w:jc w:val="center"/>
        <w:rPr>
          <w:rFonts w:ascii="Times New Roman" w:hAnsi="Times New Roman"/>
          <w:b/>
          <w:bCs/>
          <w:caps/>
          <w:lang w:eastAsia="lt-LT"/>
        </w:rPr>
      </w:pPr>
      <w:bookmarkStart w:id="0" w:name="organizacija"/>
      <w:bookmarkStart w:id="1" w:name="_GoBack"/>
      <w:bookmarkEnd w:id="0"/>
      <w:bookmarkEnd w:id="1"/>
    </w:p>
    <w:p w:rsidR="008A62DD" w:rsidRPr="00AB0398" w:rsidRDefault="008A62DD" w:rsidP="00AB0398">
      <w:pPr>
        <w:spacing w:after="0" w:line="240" w:lineRule="auto"/>
        <w:jc w:val="center"/>
        <w:rPr>
          <w:rFonts w:ascii="TimesLT" w:hAnsi="TimesLT" w:cs="Tahoma"/>
          <w:caps/>
          <w:sz w:val="24"/>
          <w:szCs w:val="24"/>
          <w:lang w:eastAsia="lt-LT"/>
        </w:rPr>
      </w:pPr>
      <w:r w:rsidRPr="00AB0398">
        <w:rPr>
          <w:rFonts w:ascii="Times New Roman" w:hAnsi="Times New Roman"/>
          <w:b/>
          <w:bCs/>
          <w:caps/>
          <w:lang w:eastAsia="lt-LT"/>
        </w:rPr>
        <w:t>LIETUVOS RESPUBLIKOS</w:t>
      </w:r>
    </w:p>
    <w:p w:rsidR="008A62DD" w:rsidRPr="00AB0398" w:rsidRDefault="008A62DD" w:rsidP="00AB0398">
      <w:pPr>
        <w:spacing w:after="0" w:line="240" w:lineRule="auto"/>
        <w:jc w:val="center"/>
        <w:rPr>
          <w:rFonts w:ascii="TimesLT" w:hAnsi="TimesLT" w:cs="Tahoma"/>
          <w:caps/>
          <w:sz w:val="24"/>
          <w:szCs w:val="24"/>
          <w:lang w:eastAsia="lt-LT"/>
        </w:rPr>
      </w:pPr>
      <w:bookmarkStart w:id="2" w:name="antraste"/>
      <w:bookmarkEnd w:id="2"/>
      <w:r w:rsidRPr="00AB0398">
        <w:rPr>
          <w:rFonts w:ascii="Times New Roman" w:hAnsi="Times New Roman"/>
          <w:b/>
          <w:bCs/>
          <w:lang w:eastAsia="lt-LT"/>
        </w:rPr>
        <w:t>SOCIALINĖS PARAMOS MOKINIAMS</w:t>
      </w:r>
    </w:p>
    <w:p w:rsidR="008A62DD" w:rsidRPr="00AB0398" w:rsidRDefault="008A62DD" w:rsidP="00AB0398">
      <w:pPr>
        <w:spacing w:after="0" w:line="240" w:lineRule="auto"/>
        <w:jc w:val="center"/>
        <w:rPr>
          <w:rFonts w:ascii="TimesLT" w:hAnsi="TimesLT" w:cs="Tahoma"/>
          <w:caps/>
          <w:sz w:val="24"/>
          <w:szCs w:val="24"/>
          <w:lang w:eastAsia="lt-LT"/>
        </w:rPr>
      </w:pPr>
      <w:bookmarkStart w:id="3" w:name="dok_tipas"/>
      <w:r w:rsidRPr="00AB0398">
        <w:rPr>
          <w:rFonts w:ascii="Times New Roman" w:hAnsi="Times New Roman"/>
          <w:b/>
          <w:bCs/>
          <w:caps/>
          <w:color w:val="000000"/>
          <w:spacing w:val="20"/>
          <w:lang w:eastAsia="lt-LT"/>
        </w:rPr>
        <w:t> </w:t>
      </w:r>
      <w:bookmarkEnd w:id="3"/>
    </w:p>
    <w:p w:rsidR="008A62DD" w:rsidRPr="00AB0398" w:rsidRDefault="008A62DD" w:rsidP="00AB0398">
      <w:pPr>
        <w:spacing w:after="600" w:line="240" w:lineRule="auto"/>
        <w:jc w:val="center"/>
        <w:rPr>
          <w:rFonts w:ascii="TimesLT" w:hAnsi="TimesLT"/>
          <w:sz w:val="24"/>
          <w:szCs w:val="24"/>
          <w:lang w:eastAsia="lt-LT"/>
        </w:rPr>
      </w:pPr>
      <w:bookmarkStart w:id="4" w:name="data_metai"/>
      <w:bookmarkEnd w:id="4"/>
      <w:r w:rsidRPr="00AB0398">
        <w:rPr>
          <w:rFonts w:ascii="Times New Roman" w:hAnsi="Times New Roman"/>
          <w:lang w:eastAsia="lt-LT"/>
        </w:rPr>
        <w:t xml:space="preserve">2006 m. </w:t>
      </w:r>
      <w:bookmarkStart w:id="5" w:name="data_menuo"/>
      <w:bookmarkEnd w:id="5"/>
      <w:r w:rsidRPr="00AB0398">
        <w:rPr>
          <w:rFonts w:ascii="Times New Roman" w:hAnsi="Times New Roman"/>
          <w:lang w:eastAsia="lt-LT"/>
        </w:rPr>
        <w:t xml:space="preserve">birželio </w:t>
      </w:r>
      <w:bookmarkStart w:id="6" w:name="data_diena"/>
      <w:bookmarkEnd w:id="6"/>
      <w:r w:rsidRPr="00AB0398">
        <w:rPr>
          <w:rFonts w:ascii="Times New Roman" w:hAnsi="Times New Roman"/>
          <w:lang w:eastAsia="lt-LT"/>
        </w:rPr>
        <w:t xml:space="preserve">13 d. Nr. </w:t>
      </w:r>
      <w:bookmarkStart w:id="7" w:name="dok_nr"/>
      <w:bookmarkEnd w:id="7"/>
      <w:r w:rsidRPr="00AB0398">
        <w:rPr>
          <w:rFonts w:ascii="Times New Roman" w:hAnsi="Times New Roman"/>
          <w:lang w:eastAsia="lt-LT"/>
        </w:rPr>
        <w:t>X-686</w:t>
      </w:r>
      <w:r w:rsidRPr="00AB0398">
        <w:rPr>
          <w:rFonts w:ascii="Times New Roman" w:hAnsi="Times New Roman"/>
          <w:lang w:eastAsia="lt-LT"/>
        </w:rPr>
        <w:br/>
        <w:t>Vilnius</w:t>
      </w:r>
    </w:p>
    <w:p w:rsidR="008A62DD" w:rsidRPr="00AB0398" w:rsidRDefault="008A62DD" w:rsidP="00AB0398">
      <w:pPr>
        <w:spacing w:after="0" w:line="240" w:lineRule="auto"/>
        <w:ind w:left="2919" w:hanging="1974"/>
        <w:jc w:val="both"/>
        <w:rPr>
          <w:rFonts w:ascii="Times New Roman" w:hAnsi="Times New Roman"/>
          <w:sz w:val="24"/>
          <w:szCs w:val="24"/>
          <w:lang w:eastAsia="lt-LT"/>
        </w:rPr>
      </w:pPr>
      <w:bookmarkStart w:id="8" w:name="straipsnis14"/>
      <w:r w:rsidRPr="00AB0398">
        <w:rPr>
          <w:rFonts w:ascii="Times New Roman" w:hAnsi="Times New Roman"/>
          <w:b/>
          <w:bCs/>
          <w:color w:val="000000"/>
          <w:lang w:eastAsia="lt-LT"/>
        </w:rPr>
        <w:t> </w:t>
      </w:r>
      <w:bookmarkEnd w:id="8"/>
    </w:p>
    <w:p w:rsidR="008A62DD" w:rsidRPr="00AB0398" w:rsidRDefault="008A62DD" w:rsidP="00AB0398">
      <w:pPr>
        <w:spacing w:after="0" w:line="240" w:lineRule="auto"/>
        <w:ind w:firstLine="720"/>
        <w:rPr>
          <w:rFonts w:ascii="TimesLT" w:hAnsi="TimesLT"/>
          <w:sz w:val="24"/>
          <w:szCs w:val="24"/>
          <w:lang w:eastAsia="lt-LT"/>
        </w:rPr>
      </w:pPr>
      <w:r w:rsidRPr="00AB0398">
        <w:rPr>
          <w:rFonts w:ascii="Times New Roman" w:hAnsi="Times New Roman"/>
          <w:lang w:eastAsia="lt-LT"/>
        </w:rPr>
        <w:t>1. Mokyklų steigėjai, išskyrus nevalstybinių mokyklų steigėjus:</w:t>
      </w:r>
    </w:p>
    <w:p w:rsidR="008A62DD" w:rsidRPr="00AB0398" w:rsidRDefault="008A62DD" w:rsidP="00AB0398">
      <w:pPr>
        <w:spacing w:after="0" w:line="240" w:lineRule="auto"/>
        <w:ind w:firstLine="720"/>
        <w:jc w:val="both"/>
        <w:rPr>
          <w:rFonts w:ascii="Times New Roman" w:hAnsi="Times New Roman"/>
          <w:b/>
          <w:bCs/>
          <w:sz w:val="28"/>
          <w:szCs w:val="28"/>
          <w:lang w:eastAsia="lt-LT"/>
        </w:rPr>
      </w:pPr>
      <w:r w:rsidRPr="00AB0398">
        <w:rPr>
          <w:rFonts w:ascii="Times New Roman" w:hAnsi="Times New Roman"/>
          <w:lang w:eastAsia="lt-LT"/>
        </w:rPr>
        <w:t>1) skirsto šiam įstatymui įgyvendinti gautas valstybės ir savo biudžeto lėšas bei įstatymų nustatyta tvarka gautas kitas lėšas;</w:t>
      </w:r>
    </w:p>
    <w:p w:rsidR="008A62DD" w:rsidRPr="00AB0398" w:rsidRDefault="008A62DD" w:rsidP="00AB0398">
      <w:pPr>
        <w:spacing w:after="0" w:line="240" w:lineRule="auto"/>
        <w:ind w:firstLine="720"/>
        <w:jc w:val="both"/>
        <w:rPr>
          <w:rFonts w:ascii="Times New Roman" w:hAnsi="Times New Roman"/>
          <w:b/>
          <w:bCs/>
          <w:sz w:val="28"/>
          <w:szCs w:val="28"/>
          <w:lang w:eastAsia="lt-LT"/>
        </w:rPr>
      </w:pPr>
      <w:r w:rsidRPr="00AB0398">
        <w:rPr>
          <w:rFonts w:ascii="Times New Roman" w:hAnsi="Times New Roman"/>
          <w:color w:val="000000"/>
          <w:lang w:eastAsia="lt-LT"/>
        </w:rPr>
        <w:t>2) tvirtina mokinių nemokamo maitinimo mokyklose tvarką, kurios apraše turi teisę numatyti atvejus iš savo bei įstatymų nustatyta tvarka gautų kitų lėšų skirti socialinę paramą mokiniams ir kitais, šio įstatymo nenustatytais, atvejais.</w:t>
      </w:r>
    </w:p>
    <w:p w:rsidR="008A62DD" w:rsidRPr="00AB0398" w:rsidRDefault="008A62DD" w:rsidP="00AB0398">
      <w:pPr>
        <w:spacing w:after="0" w:line="240" w:lineRule="auto"/>
        <w:ind w:firstLine="720"/>
        <w:jc w:val="both"/>
        <w:rPr>
          <w:rFonts w:ascii="Times New Roman" w:hAnsi="Times New Roman"/>
          <w:sz w:val="24"/>
          <w:szCs w:val="24"/>
          <w:lang w:eastAsia="lt-LT"/>
        </w:rPr>
      </w:pPr>
      <w:r w:rsidRPr="00AB0398">
        <w:rPr>
          <w:rFonts w:ascii="Times New Roman" w:hAnsi="Times New Roman"/>
          <w:lang w:eastAsia="lt-LT"/>
        </w:rPr>
        <w:t>2. Savivaldybių tarybos:</w:t>
      </w:r>
    </w:p>
    <w:p w:rsidR="008A62DD" w:rsidRPr="00AB0398" w:rsidRDefault="008A62DD" w:rsidP="00AB0398">
      <w:pPr>
        <w:spacing w:after="0" w:line="240" w:lineRule="auto"/>
        <w:ind w:firstLine="720"/>
        <w:jc w:val="both"/>
        <w:rPr>
          <w:rFonts w:ascii="Times New Roman" w:hAnsi="Times New Roman"/>
          <w:sz w:val="24"/>
          <w:szCs w:val="24"/>
          <w:lang w:eastAsia="lt-LT"/>
        </w:rPr>
      </w:pPr>
      <w:r w:rsidRPr="00AB0398">
        <w:rPr>
          <w:rFonts w:ascii="Times New Roman" w:hAnsi="Times New Roman"/>
          <w:lang w:eastAsia="lt-LT"/>
        </w:rPr>
        <w:t>1) tvirtina kreipimosi dėl socialinės paramos mokiniams tvarką;</w:t>
      </w:r>
    </w:p>
    <w:p w:rsidR="008A62DD" w:rsidRPr="00AB0398" w:rsidRDefault="008A62DD" w:rsidP="00AB0398">
      <w:pPr>
        <w:spacing w:after="0" w:line="240" w:lineRule="auto"/>
        <w:ind w:firstLine="720"/>
        <w:jc w:val="both"/>
        <w:rPr>
          <w:rFonts w:ascii="Times New Roman" w:hAnsi="Times New Roman"/>
          <w:sz w:val="24"/>
          <w:szCs w:val="24"/>
          <w:lang w:eastAsia="lt-LT"/>
        </w:rPr>
      </w:pPr>
      <w:r w:rsidRPr="00AB0398">
        <w:rPr>
          <w:rFonts w:ascii="Times New Roman" w:hAnsi="Times New Roman"/>
          <w:lang w:eastAsia="lt-LT"/>
        </w:rPr>
        <w:t>2) tvirtina mokinių nemokamo maitinimo nevalstybinėse mokyklose tvarką;</w:t>
      </w:r>
    </w:p>
    <w:p w:rsidR="008A62DD" w:rsidRPr="00AB0398" w:rsidRDefault="008A62DD" w:rsidP="00AB0398">
      <w:pPr>
        <w:spacing w:after="0" w:line="240" w:lineRule="auto"/>
        <w:ind w:firstLine="720"/>
        <w:jc w:val="both"/>
        <w:rPr>
          <w:rFonts w:ascii="Times New Roman" w:hAnsi="Times New Roman"/>
          <w:sz w:val="24"/>
          <w:szCs w:val="24"/>
          <w:lang w:eastAsia="lt-LT"/>
        </w:rPr>
      </w:pPr>
      <w:r w:rsidRPr="00AB0398">
        <w:rPr>
          <w:rFonts w:ascii="Times New Roman" w:hAnsi="Times New Roman"/>
          <w:highlight w:val="lightGray"/>
          <w:lang w:eastAsia="lt-LT"/>
        </w:rPr>
        <w:t>3) nustato atvejus, kuriems esant mokiniai turi teisę į socialinę paramą mokiniams pagal šio įstatymo 5 straipsnio 2</w:t>
      </w:r>
      <w:r w:rsidRPr="00AB0398">
        <w:rPr>
          <w:rFonts w:ascii="Times New Roman" w:hAnsi="Times New Roman"/>
          <w:b/>
          <w:bCs/>
          <w:highlight w:val="lightGray"/>
          <w:lang w:eastAsia="lt-LT"/>
        </w:rPr>
        <w:t xml:space="preserve"> </w:t>
      </w:r>
      <w:r w:rsidRPr="00AB0398">
        <w:rPr>
          <w:rFonts w:ascii="Times New Roman" w:hAnsi="Times New Roman"/>
          <w:highlight w:val="lightGray"/>
          <w:lang w:eastAsia="lt-LT"/>
        </w:rPr>
        <w:t>dalį;</w:t>
      </w:r>
    </w:p>
    <w:p w:rsidR="008A62DD" w:rsidRPr="00AB0398" w:rsidRDefault="008A62DD" w:rsidP="00AB0398">
      <w:pPr>
        <w:spacing w:after="0" w:line="240" w:lineRule="auto"/>
        <w:ind w:firstLine="720"/>
        <w:jc w:val="both"/>
        <w:rPr>
          <w:rFonts w:ascii="Times New Roman" w:hAnsi="Times New Roman"/>
          <w:sz w:val="24"/>
          <w:szCs w:val="24"/>
          <w:lang w:eastAsia="lt-LT"/>
        </w:rPr>
      </w:pPr>
      <w:r w:rsidRPr="00AB0398">
        <w:rPr>
          <w:rFonts w:ascii="Times New Roman" w:hAnsi="Times New Roman"/>
          <w:lang w:eastAsia="lt-LT"/>
        </w:rPr>
        <w:t>4) tvirtina paramos mokinio reikmenims įsigyti tvarką.</w:t>
      </w:r>
    </w:p>
    <w:p w:rsidR="008A62DD" w:rsidRPr="00AB0398" w:rsidRDefault="008A62DD" w:rsidP="00AB0398">
      <w:pPr>
        <w:spacing w:after="0" w:line="240" w:lineRule="auto"/>
        <w:ind w:firstLine="720"/>
        <w:jc w:val="both"/>
        <w:rPr>
          <w:rFonts w:ascii="Times New Roman" w:hAnsi="Times New Roman"/>
          <w:sz w:val="24"/>
          <w:szCs w:val="24"/>
          <w:lang w:eastAsia="lt-LT"/>
        </w:rPr>
      </w:pPr>
      <w:r w:rsidRPr="00AB0398">
        <w:rPr>
          <w:rFonts w:ascii="Times New Roman" w:hAnsi="Times New Roman"/>
          <w:lang w:eastAsia="lt-LT"/>
        </w:rPr>
        <w:t>3. Savivaldybių administracijos ir Švietimo ir mokslo ministerija:</w:t>
      </w:r>
    </w:p>
    <w:p w:rsidR="008A62DD" w:rsidRPr="00AB0398" w:rsidRDefault="008A62DD" w:rsidP="00AB0398">
      <w:pPr>
        <w:spacing w:after="0" w:line="240" w:lineRule="auto"/>
        <w:ind w:firstLine="720"/>
        <w:jc w:val="both"/>
        <w:rPr>
          <w:rFonts w:ascii="Times New Roman" w:hAnsi="Times New Roman"/>
          <w:sz w:val="24"/>
          <w:szCs w:val="24"/>
          <w:lang w:eastAsia="lt-LT"/>
        </w:rPr>
      </w:pPr>
      <w:r w:rsidRPr="00AB0398">
        <w:rPr>
          <w:rFonts w:ascii="Times New Roman" w:hAnsi="Times New Roman"/>
          <w:lang w:eastAsia="lt-LT"/>
        </w:rPr>
        <w:t>1) atsako už valstybės ir savo biudžeto lėšų, skiriamų šiam įstatymui įgyvendinti, tikslingą panaudojimą;</w:t>
      </w:r>
    </w:p>
    <w:p w:rsidR="008A62DD" w:rsidRPr="00AB0398" w:rsidRDefault="008A62DD" w:rsidP="00AB0398">
      <w:pPr>
        <w:spacing w:after="0" w:line="240" w:lineRule="auto"/>
        <w:ind w:firstLine="720"/>
        <w:jc w:val="both"/>
        <w:rPr>
          <w:rFonts w:ascii="Times New Roman" w:hAnsi="Times New Roman"/>
          <w:sz w:val="24"/>
          <w:szCs w:val="24"/>
          <w:lang w:eastAsia="lt-LT"/>
        </w:rPr>
      </w:pPr>
      <w:r w:rsidRPr="00AB0398">
        <w:rPr>
          <w:rFonts w:ascii="Times New Roman" w:hAnsi="Times New Roman"/>
          <w:color w:val="000000"/>
          <w:lang w:eastAsia="lt-LT"/>
        </w:rPr>
        <w:t>2) nustato produktams įsigyti skiriamų lėšų dydį, vadovaudamosi šio įstatymo 7 straipsniu;</w:t>
      </w:r>
    </w:p>
    <w:p w:rsidR="008A62DD" w:rsidRPr="00AB0398" w:rsidRDefault="008A62DD" w:rsidP="00AB0398">
      <w:pPr>
        <w:spacing w:after="0" w:line="240" w:lineRule="auto"/>
        <w:ind w:firstLine="720"/>
        <w:jc w:val="both"/>
        <w:rPr>
          <w:rFonts w:ascii="Times New Roman" w:hAnsi="Times New Roman"/>
          <w:sz w:val="24"/>
          <w:szCs w:val="24"/>
          <w:lang w:eastAsia="lt-LT"/>
        </w:rPr>
      </w:pPr>
      <w:r w:rsidRPr="00AB0398">
        <w:rPr>
          <w:rFonts w:ascii="Times New Roman" w:hAnsi="Times New Roman"/>
          <w:lang w:eastAsia="lt-LT"/>
        </w:rPr>
        <w:t xml:space="preserve">3) teikia Socialinės apsaugos ir darbo ministerijai duomenis apie pagrįstą valstybės biudžeto lėšų, reikalingų šiam įstatymui įgyvendinti, poreikį, vadovaudamosi Vyriausybės ar jos įgaliotos institucijos patvirtinta duomenų apie valstybės biudžeto lėšų poreikį socialinei paramai mokiniams teikimo tvarka; </w:t>
      </w:r>
    </w:p>
    <w:p w:rsidR="008A62DD" w:rsidRPr="00AB0398" w:rsidRDefault="008A62DD" w:rsidP="00AB0398">
      <w:pPr>
        <w:spacing w:after="0" w:line="240" w:lineRule="auto"/>
        <w:ind w:firstLine="720"/>
        <w:jc w:val="both"/>
        <w:rPr>
          <w:rFonts w:ascii="Times New Roman" w:hAnsi="Times New Roman"/>
          <w:sz w:val="24"/>
          <w:szCs w:val="24"/>
          <w:lang w:eastAsia="lt-LT"/>
        </w:rPr>
      </w:pPr>
      <w:r w:rsidRPr="00AB0398">
        <w:rPr>
          <w:rFonts w:ascii="Times New Roman" w:hAnsi="Times New Roman"/>
          <w:lang w:eastAsia="lt-LT"/>
        </w:rPr>
        <w:t xml:space="preserve">4) renka ir kaupia duomenis apie suteiktą socialinę paramą mokiniams, analizuoja duomenis apie remiamus mokinius ir lėšų panaudojimą mokyklose, laiku apskaičiuoja papildomai reikalingas ar numatomas nepanaudoti einamaisiais metais lėšas; </w:t>
      </w:r>
    </w:p>
    <w:p w:rsidR="008A62DD" w:rsidRPr="00AB0398" w:rsidRDefault="008A62DD" w:rsidP="00AB0398">
      <w:pPr>
        <w:overflowPunct w:val="0"/>
        <w:autoSpaceDE w:val="0"/>
        <w:autoSpaceDN w:val="0"/>
        <w:spacing w:after="0" w:line="240" w:lineRule="auto"/>
        <w:ind w:firstLine="720"/>
        <w:jc w:val="both"/>
        <w:rPr>
          <w:rFonts w:ascii="Times New Roman" w:hAnsi="Times New Roman"/>
          <w:sz w:val="24"/>
          <w:szCs w:val="24"/>
          <w:lang w:eastAsia="lt-LT"/>
        </w:rPr>
      </w:pPr>
      <w:r w:rsidRPr="00AB0398">
        <w:rPr>
          <w:rFonts w:ascii="Times New Roman" w:hAnsi="Times New Roman"/>
          <w:lang w:eastAsia="lt-LT"/>
        </w:rPr>
        <w:t xml:space="preserve">5) teikia Socialinės apsaugos ir darbo ministerijai duomenis apie suteiktą socialinę paramą mokiniams, vadovaudamosi Vyriausybės ar jos įgaliotos institucijos patvirtinta duomenų apie suteiktą socialinę paramą mokiniams teikimo tvarka, ir, jei reikia, kitą informaciją; </w:t>
      </w:r>
    </w:p>
    <w:p w:rsidR="008A62DD" w:rsidRPr="00AB0398" w:rsidRDefault="008A62DD" w:rsidP="00AB0398">
      <w:pPr>
        <w:spacing w:after="0" w:line="240" w:lineRule="auto"/>
        <w:ind w:firstLine="720"/>
        <w:jc w:val="both"/>
        <w:rPr>
          <w:rFonts w:ascii="TimesLT" w:hAnsi="TimesLT"/>
          <w:sz w:val="24"/>
          <w:szCs w:val="24"/>
          <w:lang w:eastAsia="lt-LT"/>
        </w:rPr>
      </w:pPr>
      <w:r w:rsidRPr="00AB0398">
        <w:rPr>
          <w:rFonts w:ascii="Times New Roman" w:hAnsi="Times New Roman"/>
          <w:lang w:eastAsia="lt-LT"/>
        </w:rPr>
        <w:t>6) gavusios informaciją apie pasikeitusias aplinkybes, turinčias įtakos skiriant socialinę paramą mokiniams, ar kilus įtarimui, kad pateikta neteisinga informacija arba ji yra nuslėpta, apie tai praneša savivaldybės, kurioje priimamas sprendimas dėl socialinės paramos mokiniams skyrimo, administracijos direktoriui arba jo įgaliotam administracijos valstybės tarnautojui.</w:t>
      </w:r>
    </w:p>
    <w:p w:rsidR="008A62DD" w:rsidRPr="00AB0398" w:rsidRDefault="008A62DD" w:rsidP="00AB0398">
      <w:pPr>
        <w:spacing w:after="0" w:line="240" w:lineRule="auto"/>
        <w:ind w:firstLine="720"/>
        <w:jc w:val="both"/>
        <w:rPr>
          <w:rFonts w:ascii="Times New Roman" w:hAnsi="Times New Roman"/>
          <w:sz w:val="24"/>
          <w:szCs w:val="24"/>
          <w:lang w:eastAsia="lt-LT"/>
        </w:rPr>
      </w:pPr>
      <w:r w:rsidRPr="00AB0398">
        <w:rPr>
          <w:rFonts w:ascii="Times New Roman" w:hAnsi="Times New Roman"/>
          <w:color w:val="000000"/>
          <w:lang w:eastAsia="lt-LT"/>
        </w:rPr>
        <w:t>4. Savivaldybių administracijos:</w:t>
      </w:r>
    </w:p>
    <w:p w:rsidR="008A62DD" w:rsidRPr="00AB0398" w:rsidRDefault="008A62DD" w:rsidP="00AB0398">
      <w:pPr>
        <w:spacing w:after="0" w:line="240" w:lineRule="auto"/>
        <w:ind w:firstLine="720"/>
        <w:jc w:val="both"/>
        <w:rPr>
          <w:rFonts w:ascii="Times New Roman" w:hAnsi="Times New Roman"/>
          <w:sz w:val="24"/>
          <w:szCs w:val="24"/>
          <w:lang w:eastAsia="lt-LT"/>
        </w:rPr>
      </w:pPr>
      <w:r w:rsidRPr="00AB0398">
        <w:rPr>
          <w:rFonts w:ascii="Times New Roman" w:hAnsi="Times New Roman"/>
          <w:color w:val="000000"/>
          <w:lang w:eastAsia="lt-LT"/>
        </w:rPr>
        <w:t>1) tikrina pareiškėjo pateiktą informaciją, turinčią įtakos teisei į socialinę paramą mokiniams;</w:t>
      </w:r>
    </w:p>
    <w:p w:rsidR="008A62DD" w:rsidRPr="00AB0398" w:rsidRDefault="008A62DD" w:rsidP="00AB0398">
      <w:pPr>
        <w:spacing w:after="0" w:line="240" w:lineRule="auto"/>
        <w:ind w:firstLine="720"/>
        <w:jc w:val="both"/>
        <w:rPr>
          <w:rFonts w:ascii="Times New Roman" w:hAnsi="Times New Roman"/>
          <w:sz w:val="24"/>
          <w:szCs w:val="24"/>
          <w:lang w:eastAsia="lt-LT"/>
        </w:rPr>
      </w:pPr>
      <w:r w:rsidRPr="00AB0398">
        <w:rPr>
          <w:rFonts w:ascii="Times New Roman" w:hAnsi="Times New Roman"/>
          <w:color w:val="000000"/>
          <w:lang w:eastAsia="lt-LT"/>
        </w:rPr>
        <w:t>2) esant šio įstatymo 5 straipsnio 2 dalyje ar 10 straipsnio 5 dalyje nustatytoms aplinkybėms ar kilus įtarimui, kad pateikta neteisinga informacija, tikrina bendrai gyvenančių asmenų ar vieno gyvenančio asmens gyvenimo sąlygas ir surašo buities ir gyvenimo sąlygų patikrinimo aktą. Tokiais atvejais šis aktas yra vienas iš dokumentų teisei į socialinę paramą mokiniams nustatyti;</w:t>
      </w:r>
    </w:p>
    <w:p w:rsidR="008A62DD" w:rsidRPr="00AB0398" w:rsidRDefault="008A62DD" w:rsidP="00AB0398">
      <w:pPr>
        <w:spacing w:after="0" w:line="240" w:lineRule="auto"/>
        <w:ind w:firstLine="720"/>
        <w:jc w:val="both"/>
        <w:rPr>
          <w:rFonts w:ascii="Times New Roman" w:hAnsi="Times New Roman"/>
          <w:sz w:val="24"/>
          <w:szCs w:val="24"/>
          <w:lang w:eastAsia="lt-LT"/>
        </w:rPr>
      </w:pPr>
      <w:r w:rsidRPr="00AB0398">
        <w:rPr>
          <w:rFonts w:ascii="Times New Roman" w:hAnsi="Times New Roman"/>
          <w:color w:val="000000"/>
          <w:lang w:eastAsia="lt-LT"/>
        </w:rPr>
        <w:t>3) sudaro mokinio reikmenų rinkinius vadovaudamosi šio įstatymo 8 straipsniu;</w:t>
      </w:r>
    </w:p>
    <w:p w:rsidR="008A62DD" w:rsidRPr="00AB0398" w:rsidRDefault="008A62DD" w:rsidP="00AB0398">
      <w:pPr>
        <w:spacing w:after="0" w:line="240" w:lineRule="auto"/>
        <w:ind w:firstLine="720"/>
        <w:jc w:val="both"/>
        <w:rPr>
          <w:rFonts w:ascii="Times New Roman" w:hAnsi="Times New Roman"/>
          <w:sz w:val="24"/>
          <w:szCs w:val="24"/>
          <w:lang w:eastAsia="lt-LT"/>
        </w:rPr>
      </w:pPr>
      <w:r w:rsidRPr="00AB0398">
        <w:rPr>
          <w:rFonts w:ascii="Times New Roman" w:hAnsi="Times New Roman"/>
          <w:highlight w:val="lightGray"/>
          <w:lang w:eastAsia="lt-LT"/>
        </w:rPr>
        <w:t xml:space="preserve">4) </w:t>
      </w:r>
      <w:r w:rsidRPr="00AB0398">
        <w:rPr>
          <w:rFonts w:ascii="Times New Roman" w:hAnsi="Times New Roman"/>
          <w:color w:val="000000"/>
          <w:highlight w:val="lightGray"/>
          <w:lang w:eastAsia="lt-LT"/>
        </w:rPr>
        <w:t xml:space="preserve">savivaldybės, kurioje priimamas sprendimas dėl socialinės paramos mokiniams skyrimo, tarybos nustatytais atvejais (ligos, nelaimingo atsitikimo, netekus maitintojo, kai bendrai gyvenantys asmenys augina tris ir daugiau vaikų ar vaikus augina neįgalūs bendrai gyvenantys asmenys ir kt.), </w:t>
      </w:r>
      <w:r w:rsidRPr="00AB0398">
        <w:rPr>
          <w:rFonts w:ascii="Times New Roman" w:hAnsi="Times New Roman"/>
          <w:highlight w:val="lightGray"/>
          <w:lang w:eastAsia="lt-LT"/>
        </w:rPr>
        <w:t xml:space="preserve">patikrinus bendrai gyvenančių asmenų ar vieno gyvenančio asmens gyvenimo sąlygas ir surašius buities </w:t>
      </w:r>
      <w:r w:rsidRPr="00AB0398">
        <w:rPr>
          <w:rFonts w:ascii="Times New Roman" w:hAnsi="Times New Roman"/>
          <w:color w:val="000000"/>
          <w:highlight w:val="lightGray"/>
          <w:lang w:eastAsia="lt-LT"/>
        </w:rPr>
        <w:t>ir gyvenimo sąlygų patikrinimo</w:t>
      </w:r>
      <w:r w:rsidRPr="00AB0398">
        <w:rPr>
          <w:rFonts w:ascii="Times New Roman" w:hAnsi="Times New Roman"/>
          <w:highlight w:val="lightGray"/>
          <w:lang w:eastAsia="lt-LT"/>
        </w:rPr>
        <w:t xml:space="preserve"> aktą, turi teisę skirti nemokamą maitinimą savivaldybės nustatyta tvarka</w:t>
      </w:r>
      <w:r w:rsidRPr="00AB0398">
        <w:rPr>
          <w:rFonts w:ascii="Times New Roman" w:hAnsi="Times New Roman"/>
          <w:color w:val="000000"/>
          <w:highlight w:val="lightGray"/>
          <w:lang w:eastAsia="lt-LT"/>
        </w:rPr>
        <w:t>. Tam tikslui gali būti panaudojama iki 2 procentų šio įstatymo 4 straipsnio 2 dalies 1, 2 ir 4 punktuose numatytoms išlaidoms finansuoti skirtų valstybės biudžeto lėšų.</w:t>
      </w:r>
    </w:p>
    <w:p w:rsidR="008A62DD" w:rsidRPr="00AB0398" w:rsidRDefault="008A62DD" w:rsidP="00AB0398">
      <w:pPr>
        <w:overflowPunct w:val="0"/>
        <w:autoSpaceDE w:val="0"/>
        <w:autoSpaceDN w:val="0"/>
        <w:spacing w:after="0" w:line="240" w:lineRule="auto"/>
        <w:ind w:firstLine="720"/>
        <w:jc w:val="both"/>
        <w:rPr>
          <w:rFonts w:ascii="Times New Roman" w:hAnsi="Times New Roman"/>
          <w:sz w:val="24"/>
          <w:szCs w:val="24"/>
          <w:lang w:eastAsia="lt-LT"/>
        </w:rPr>
      </w:pPr>
      <w:r w:rsidRPr="00AB0398">
        <w:rPr>
          <w:rFonts w:ascii="Times New Roman" w:hAnsi="Times New Roman"/>
          <w:lang w:eastAsia="lt-LT"/>
        </w:rPr>
        <w:t>5. Nevalstybinių mokyklų administracijos:</w:t>
      </w:r>
    </w:p>
    <w:p w:rsidR="008A62DD" w:rsidRPr="00AB0398" w:rsidRDefault="008A62DD" w:rsidP="00AB0398">
      <w:pPr>
        <w:spacing w:after="0" w:line="240" w:lineRule="auto"/>
        <w:ind w:firstLine="720"/>
        <w:jc w:val="both"/>
        <w:rPr>
          <w:rFonts w:ascii="Times New Roman" w:hAnsi="Times New Roman"/>
          <w:sz w:val="24"/>
          <w:szCs w:val="24"/>
          <w:lang w:eastAsia="lt-LT"/>
        </w:rPr>
      </w:pPr>
      <w:r w:rsidRPr="00AB0398">
        <w:rPr>
          <w:rFonts w:ascii="Times New Roman" w:hAnsi="Times New Roman"/>
          <w:lang w:eastAsia="lt-LT"/>
        </w:rPr>
        <w:t>1) atsako už valstybės biudžeto lėšų, skiriamų šiam įstatymui įgyvendinti, tikslingą panaudojimą;</w:t>
      </w:r>
    </w:p>
    <w:p w:rsidR="008A62DD" w:rsidRPr="00AB0398" w:rsidRDefault="008A62DD" w:rsidP="00AB0398">
      <w:pPr>
        <w:spacing w:after="0" w:line="240" w:lineRule="auto"/>
        <w:ind w:firstLine="720"/>
        <w:jc w:val="both"/>
        <w:rPr>
          <w:rFonts w:ascii="Times New Roman" w:hAnsi="Times New Roman"/>
          <w:sz w:val="24"/>
          <w:szCs w:val="24"/>
          <w:lang w:eastAsia="lt-LT"/>
        </w:rPr>
      </w:pPr>
      <w:r w:rsidRPr="00AB0398">
        <w:rPr>
          <w:rFonts w:ascii="Times New Roman" w:hAnsi="Times New Roman"/>
          <w:lang w:eastAsia="lt-LT"/>
        </w:rPr>
        <w:t>2) teikia savivaldybės, kurios teritorijoje mokykla įsteigta, administracijai informaciją apie pagrįstą valstybės biudžeto lėšų, reikalingų šiam įstatymui įgyvendinti, poreikį;</w:t>
      </w:r>
    </w:p>
    <w:p w:rsidR="008A62DD" w:rsidRPr="00AB0398" w:rsidRDefault="008A62DD" w:rsidP="00AB0398">
      <w:pPr>
        <w:spacing w:after="0" w:line="240" w:lineRule="auto"/>
        <w:ind w:firstLine="720"/>
        <w:jc w:val="both"/>
        <w:rPr>
          <w:rFonts w:ascii="Times New Roman" w:hAnsi="Times New Roman"/>
          <w:sz w:val="24"/>
          <w:szCs w:val="24"/>
          <w:lang w:eastAsia="lt-LT"/>
        </w:rPr>
      </w:pPr>
      <w:r w:rsidRPr="00AB0398">
        <w:rPr>
          <w:rFonts w:ascii="Times New Roman" w:hAnsi="Times New Roman"/>
          <w:lang w:eastAsia="lt-LT"/>
        </w:rPr>
        <w:t>3) teikia savivaldybės, kurios teritorijoje mokykla įsteigta,</w:t>
      </w:r>
      <w:r w:rsidRPr="00AB0398">
        <w:rPr>
          <w:rFonts w:ascii="Times New Roman" w:hAnsi="Times New Roman"/>
          <w:b/>
          <w:bCs/>
          <w:lang w:eastAsia="lt-LT"/>
        </w:rPr>
        <w:t xml:space="preserve"> </w:t>
      </w:r>
      <w:r w:rsidRPr="00AB0398">
        <w:rPr>
          <w:rFonts w:ascii="Times New Roman" w:hAnsi="Times New Roman"/>
          <w:lang w:eastAsia="lt-LT"/>
        </w:rPr>
        <w:t>administracijai informaciją apie lėšų mokinių nemokamam maitinimui panaudojimą;</w:t>
      </w:r>
    </w:p>
    <w:p w:rsidR="008A62DD" w:rsidRPr="00AB0398" w:rsidRDefault="008A62DD" w:rsidP="00AB0398">
      <w:pPr>
        <w:spacing w:after="0" w:line="240" w:lineRule="auto"/>
        <w:ind w:firstLine="720"/>
        <w:jc w:val="both"/>
        <w:rPr>
          <w:rFonts w:ascii="TimesLT" w:hAnsi="TimesLT"/>
          <w:sz w:val="24"/>
          <w:szCs w:val="24"/>
          <w:lang w:eastAsia="lt-LT"/>
        </w:rPr>
      </w:pPr>
      <w:r w:rsidRPr="00AB0398">
        <w:rPr>
          <w:rFonts w:ascii="Times New Roman" w:hAnsi="Times New Roman"/>
          <w:lang w:eastAsia="lt-LT"/>
        </w:rPr>
        <w:t>4) renka ir kaupia duomenis apie suteiktą socialinę paramą mokiniams.</w:t>
      </w:r>
    </w:p>
    <w:p w:rsidR="008A62DD" w:rsidRPr="00AB0398" w:rsidRDefault="008A62DD" w:rsidP="00AB0398">
      <w:pPr>
        <w:spacing w:after="0" w:line="240" w:lineRule="auto"/>
        <w:jc w:val="both"/>
        <w:rPr>
          <w:rFonts w:ascii="TimesLT" w:hAnsi="TimesLT"/>
          <w:sz w:val="24"/>
          <w:szCs w:val="24"/>
          <w:lang w:eastAsia="lt-LT"/>
        </w:rPr>
      </w:pPr>
      <w:r w:rsidRPr="00AB0398">
        <w:rPr>
          <w:rFonts w:ascii="Times New Roman" w:hAnsi="Times New Roman"/>
          <w:i/>
          <w:iCs/>
          <w:sz w:val="20"/>
          <w:szCs w:val="20"/>
          <w:lang w:eastAsia="lt-LT"/>
        </w:rPr>
        <w:t>Straipsnio pakeitimai:</w:t>
      </w:r>
    </w:p>
    <w:p w:rsidR="008A62DD" w:rsidRPr="00AB0398" w:rsidRDefault="008A62DD" w:rsidP="00AB0398">
      <w:pPr>
        <w:spacing w:after="0" w:line="240" w:lineRule="auto"/>
        <w:jc w:val="both"/>
        <w:rPr>
          <w:rFonts w:ascii="Times New Roman" w:hAnsi="Times New Roman"/>
          <w:sz w:val="24"/>
          <w:szCs w:val="24"/>
          <w:lang w:eastAsia="lt-LT"/>
        </w:rPr>
      </w:pPr>
      <w:r w:rsidRPr="00AB0398">
        <w:rPr>
          <w:rFonts w:ascii="Times New Roman" w:hAnsi="Times New Roman"/>
          <w:i/>
          <w:iCs/>
          <w:sz w:val="20"/>
          <w:szCs w:val="20"/>
          <w:lang w:eastAsia="lt-LT"/>
        </w:rPr>
        <w:t xml:space="preserve">Nr. </w:t>
      </w:r>
      <w:hyperlink r:id="rId11" w:history="1">
        <w:r w:rsidRPr="00AB0398">
          <w:rPr>
            <w:rFonts w:ascii="Times New Roman" w:hAnsi="Times New Roman"/>
            <w:i/>
            <w:iCs/>
            <w:color w:val="0000FF"/>
            <w:sz w:val="20"/>
            <w:szCs w:val="20"/>
            <w:u w:val="single"/>
            <w:lang w:eastAsia="lt-LT"/>
          </w:rPr>
          <w:t>XI-103</w:t>
        </w:r>
      </w:hyperlink>
      <w:r w:rsidRPr="00AB0398">
        <w:rPr>
          <w:rFonts w:ascii="Times New Roman" w:hAnsi="Times New Roman"/>
          <w:i/>
          <w:iCs/>
          <w:sz w:val="20"/>
          <w:szCs w:val="20"/>
          <w:lang w:eastAsia="lt-LT"/>
        </w:rPr>
        <w:t>, 2008-12-22, Žin., 2008, Nr. 149-6027 (2008-12-30)</w:t>
      </w:r>
    </w:p>
    <w:p w:rsidR="008A62DD" w:rsidRPr="00AB0398" w:rsidRDefault="008A62DD" w:rsidP="00AB0398">
      <w:pPr>
        <w:spacing w:after="0" w:line="240" w:lineRule="auto"/>
        <w:rPr>
          <w:rFonts w:ascii="TimesLT" w:hAnsi="TimesLT"/>
          <w:sz w:val="24"/>
          <w:szCs w:val="24"/>
          <w:lang w:eastAsia="lt-LT"/>
        </w:rPr>
      </w:pPr>
      <w:r w:rsidRPr="00AB0398">
        <w:rPr>
          <w:rFonts w:ascii="Times New Roman" w:hAnsi="Times New Roman"/>
          <w:i/>
          <w:iCs/>
          <w:sz w:val="20"/>
          <w:szCs w:val="20"/>
          <w:lang w:eastAsia="lt-LT"/>
        </w:rPr>
        <w:t xml:space="preserve">Nr. </w:t>
      </w:r>
      <w:hyperlink r:id="rId12" w:history="1">
        <w:r w:rsidRPr="00AB0398">
          <w:rPr>
            <w:rFonts w:ascii="Times New Roman" w:hAnsi="Times New Roman"/>
            <w:i/>
            <w:iCs/>
            <w:color w:val="0000FF"/>
            <w:sz w:val="20"/>
            <w:szCs w:val="20"/>
            <w:u w:val="single"/>
            <w:lang w:eastAsia="lt-LT"/>
          </w:rPr>
          <w:t>XI-546</w:t>
        </w:r>
      </w:hyperlink>
      <w:r w:rsidRPr="00AB0398">
        <w:rPr>
          <w:rFonts w:ascii="Times New Roman" w:hAnsi="Times New Roman"/>
          <w:i/>
          <w:iCs/>
          <w:sz w:val="20"/>
          <w:szCs w:val="20"/>
          <w:lang w:eastAsia="lt-LT"/>
        </w:rPr>
        <w:t>, 2009-12-10, Žin., 2009, Nr. 153-6886 (2009-12-28)</w:t>
      </w:r>
    </w:p>
    <w:p w:rsidR="008A62DD" w:rsidRPr="00AB0398" w:rsidRDefault="008A62DD" w:rsidP="00AB0398">
      <w:pPr>
        <w:spacing w:after="0" w:line="240" w:lineRule="auto"/>
        <w:rPr>
          <w:rFonts w:ascii="Courier New" w:hAnsi="Courier New" w:cs="Courier New"/>
          <w:sz w:val="20"/>
          <w:szCs w:val="20"/>
          <w:lang w:eastAsia="lt-LT"/>
        </w:rPr>
      </w:pPr>
      <w:r w:rsidRPr="00AB0398">
        <w:rPr>
          <w:rFonts w:ascii="Times New Roman" w:hAnsi="Times New Roman"/>
          <w:i/>
          <w:iCs/>
          <w:sz w:val="20"/>
          <w:szCs w:val="20"/>
          <w:lang w:eastAsia="lt-LT"/>
        </w:rPr>
        <w:t xml:space="preserve">Nr. </w:t>
      </w:r>
      <w:hyperlink r:id="rId13" w:history="1">
        <w:r w:rsidRPr="00AB0398">
          <w:rPr>
            <w:rFonts w:ascii="Times New Roman" w:hAnsi="Times New Roman"/>
            <w:i/>
            <w:iCs/>
            <w:color w:val="0000FF"/>
            <w:sz w:val="20"/>
            <w:szCs w:val="20"/>
            <w:u w:val="single"/>
            <w:lang w:eastAsia="lt-LT"/>
          </w:rPr>
          <w:t>XI-1774</w:t>
        </w:r>
      </w:hyperlink>
      <w:r w:rsidRPr="00AB0398">
        <w:rPr>
          <w:rFonts w:ascii="Times New Roman" w:hAnsi="Times New Roman"/>
          <w:i/>
          <w:iCs/>
          <w:sz w:val="20"/>
          <w:szCs w:val="20"/>
          <w:lang w:eastAsia="lt-LT"/>
        </w:rPr>
        <w:t>, 2011-12-01, Žin., 2011, Nr. 155-7355 (2011-12-20)</w:t>
      </w:r>
    </w:p>
    <w:p w:rsidR="008A62DD" w:rsidRDefault="008A62DD">
      <w:r>
        <w:tab/>
      </w:r>
      <w:r>
        <w:tab/>
        <w:t>________________________________________</w:t>
      </w:r>
    </w:p>
    <w:sectPr w:rsidR="008A62DD" w:rsidSect="002A33D6">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0398"/>
    <w:rsid w:val="00085C4B"/>
    <w:rsid w:val="00121588"/>
    <w:rsid w:val="002A33D6"/>
    <w:rsid w:val="006C2D50"/>
    <w:rsid w:val="008A62DD"/>
    <w:rsid w:val="00AB0398"/>
    <w:rsid w:val="00DB3E8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3D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B0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03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4821882">
      <w:marLeft w:val="225"/>
      <w:marRight w:val="225"/>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bin?p_id=415195" TargetMode="External"/><Relationship Id="rId13" Type="http://schemas.openxmlformats.org/officeDocument/2006/relationships/hyperlink" Target="http://www3.lrs.lt/cgi-bin/preps2?a=413553&amp;b=" TargetMode="External"/><Relationship Id="rId3" Type="http://schemas.openxmlformats.org/officeDocument/2006/relationships/webSettings" Target="webSettings.xml"/><Relationship Id="rId7" Type="http://schemas.openxmlformats.org/officeDocument/2006/relationships/hyperlink" Target="http://www3.lrs.lt/pls/inter3/dokpaieska.showdoc_bin?p_id=415195" TargetMode="External"/><Relationship Id="rId12" Type="http://schemas.openxmlformats.org/officeDocument/2006/relationships/hyperlink" Target="http://www3.lrs.lt/cgi-bin/preps2?a=361197&amp;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pls/inter3/dokpaieska.susije_l?p_id=415195&amp;p_rys_id=14" TargetMode="External"/><Relationship Id="rId11" Type="http://schemas.openxmlformats.org/officeDocument/2006/relationships/hyperlink" Target="http://www3.lrs.lt/cgi-bin/preps2?a=334476&amp;b=" TargetMode="External"/><Relationship Id="rId5" Type="http://schemas.openxmlformats.org/officeDocument/2006/relationships/hyperlink" Target="http://www3.lrs.lt/pls/inter3/dokpaieska.susije_l?p_id=415195" TargetMode="External"/><Relationship Id="rId15" Type="http://schemas.openxmlformats.org/officeDocument/2006/relationships/theme" Target="theme/theme1.xml"/><Relationship Id="rId10" Type="http://schemas.openxmlformats.org/officeDocument/2006/relationships/hyperlink" Target="http://www3.lrs.lt/cgi-bin/preps2?a=279123&amp;b=" TargetMode="External"/><Relationship Id="rId4" Type="http://schemas.openxmlformats.org/officeDocument/2006/relationships/hyperlink" Target="http://www3.lrs.lt/pls/inter3/dokpaieska.showdoc_l?p_id=415195&amp;p_daug=2" TargetMode="Externa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3572</Words>
  <Characters>2037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Socialinės paramos mokiniams įstatymas</dc:title>
  <dc:subject/>
  <dc:creator>Svetlana Vasiliuk</dc:creator>
  <cp:keywords/>
  <dc:description/>
  <cp:lastModifiedBy>V.Palaimiene</cp:lastModifiedBy>
  <cp:revision>2</cp:revision>
  <dcterms:created xsi:type="dcterms:W3CDTF">2012-11-27T09:35:00Z</dcterms:created>
  <dcterms:modified xsi:type="dcterms:W3CDTF">2012-11-27T09:35:00Z</dcterms:modified>
</cp:coreProperties>
</file>