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42" w:rsidRPr="007452E2" w:rsidRDefault="00A81442" w:rsidP="00AE4C24">
      <w:pPr>
        <w:pStyle w:val="BodyText2"/>
        <w:spacing w:after="0" w:line="240" w:lineRule="auto"/>
        <w:jc w:val="center"/>
        <w:rPr>
          <w:b/>
          <w:szCs w:val="24"/>
        </w:rPr>
      </w:pPr>
      <w:r w:rsidRPr="007452E2">
        <w:rPr>
          <w:b/>
          <w:szCs w:val="24"/>
        </w:rPr>
        <w:t>AIŠKINAMASIS RAŠTAS</w:t>
      </w:r>
    </w:p>
    <w:p w:rsidR="00A81442" w:rsidRPr="007452E2" w:rsidRDefault="00A81442" w:rsidP="00AE4C24">
      <w:pPr>
        <w:jc w:val="center"/>
        <w:rPr>
          <w:b/>
        </w:rPr>
      </w:pPr>
      <w:r w:rsidRPr="007452E2">
        <w:rPr>
          <w:b/>
        </w:rPr>
        <w:t xml:space="preserve">PRIE SAVIVALDYBĖS TARYBOS SPRENDIMO „DĖL </w:t>
      </w:r>
      <w:r w:rsidRPr="0029299C">
        <w:rPr>
          <w:b/>
          <w:szCs w:val="24"/>
        </w:rPr>
        <w:t>FIKSUOTŲ PAJAMŲ MOKESČIO DYDŽIŲ, TAIKOMŲ ĮSIGYJANT VERSLO LIUDIJIMUS 2013 METAIS VYKDOMAI VEIKLAI, PATVIRTINIMO</w:t>
      </w:r>
      <w:r w:rsidRPr="007452E2">
        <w:rPr>
          <w:b/>
        </w:rPr>
        <w:t>“</w:t>
      </w:r>
    </w:p>
    <w:p w:rsidR="00A81442" w:rsidRPr="007452E2" w:rsidRDefault="00A81442" w:rsidP="00AE4C24">
      <w:pPr>
        <w:jc w:val="center"/>
        <w:rPr>
          <w:b/>
        </w:rPr>
      </w:pPr>
      <w:r w:rsidRPr="007452E2">
        <w:rPr>
          <w:b/>
        </w:rPr>
        <w:t xml:space="preserve"> PROJEKTO</w:t>
      </w:r>
    </w:p>
    <w:p w:rsidR="00A81442" w:rsidRPr="007452E2" w:rsidRDefault="00A81442" w:rsidP="00AE4C24">
      <w:pPr>
        <w:jc w:val="center"/>
        <w:rPr>
          <w:b/>
        </w:rPr>
      </w:pPr>
    </w:p>
    <w:p w:rsidR="00A81442" w:rsidRPr="007452E2" w:rsidRDefault="00A81442" w:rsidP="00AE4C24">
      <w:pPr>
        <w:ind w:firstLine="720"/>
        <w:rPr>
          <w:b/>
        </w:rPr>
      </w:pPr>
      <w:r w:rsidRPr="007452E2">
        <w:rPr>
          <w:b/>
        </w:rPr>
        <w:t xml:space="preserve">1. Sprendimo projekto esmė, tikslai ir uždaviniai. </w:t>
      </w:r>
    </w:p>
    <w:p w:rsidR="00A81442" w:rsidRPr="007452E2" w:rsidRDefault="00A81442" w:rsidP="00AE4C24">
      <w:pPr>
        <w:ind w:firstLine="720"/>
        <w:jc w:val="both"/>
      </w:pPr>
      <w:r w:rsidRPr="007452E2">
        <w:t xml:space="preserve">Nustatyti </w:t>
      </w:r>
      <w:r>
        <w:t xml:space="preserve">veiklos, kuria gali būti verčiamasi turint verslo liudijimą, </w:t>
      </w:r>
      <w:r w:rsidRPr="007452E2">
        <w:rPr>
          <w:szCs w:val="24"/>
        </w:rPr>
        <w:t xml:space="preserve">fiksuotus pajamų mokesčio </w:t>
      </w:r>
      <w:r w:rsidRPr="007452E2">
        <w:t>dydžius 201</w:t>
      </w:r>
      <w:r>
        <w:t>3</w:t>
      </w:r>
      <w:r w:rsidRPr="007452E2">
        <w:t xml:space="preserve"> metams</w:t>
      </w:r>
      <w:r>
        <w:t>.</w:t>
      </w:r>
    </w:p>
    <w:p w:rsidR="00A81442" w:rsidRPr="007452E2" w:rsidRDefault="00A81442" w:rsidP="00AE4C24">
      <w:pPr>
        <w:ind w:firstLine="720"/>
        <w:jc w:val="both"/>
      </w:pPr>
      <w:r w:rsidRPr="007452E2">
        <w:rPr>
          <w:b/>
        </w:rPr>
        <w:t>2. Projekto rengimo priežastys ir kuo remiantis parengtas sprendimo projektas.</w:t>
      </w:r>
      <w:r w:rsidRPr="007452E2">
        <w:t xml:space="preserve"> </w:t>
      </w:r>
    </w:p>
    <w:p w:rsidR="00A81442" w:rsidRDefault="00A81442" w:rsidP="00AE4C24">
      <w:pPr>
        <w:ind w:firstLine="720"/>
        <w:jc w:val="both"/>
        <w:rPr>
          <w:color w:val="000000"/>
        </w:rPr>
      </w:pPr>
      <w:r w:rsidRPr="007452E2">
        <w:t>Pagal L</w:t>
      </w:r>
      <w:r>
        <w:t xml:space="preserve">ietuvos </w:t>
      </w:r>
      <w:r w:rsidRPr="007452E2">
        <w:t>R</w:t>
      </w:r>
      <w:r>
        <w:t>espublikos g</w:t>
      </w:r>
      <w:r w:rsidRPr="007452E2">
        <w:t xml:space="preserve">yventojų pajamų mokesčio įstatymo (toliau - GPMĮ) nuostatas savivaldybių tarybos nustato fiksuoto dydžio pajamų mokestį už  pajamas, gautas iš veiklos, kuria verčiamasi turint verslo liudijimą. </w:t>
      </w:r>
      <w:r>
        <w:t xml:space="preserve">Pagal </w:t>
      </w:r>
      <w:r w:rsidRPr="007452E2">
        <w:t xml:space="preserve">GPMĮ nuostatas </w:t>
      </w:r>
      <w:r w:rsidRPr="00D42817">
        <w:rPr>
          <w:color w:val="000000"/>
        </w:rPr>
        <w:t>fiksuoto dydžio pajamų mokestis už išduodamus verslo liudijimus negal</w:t>
      </w:r>
      <w:r>
        <w:rPr>
          <w:color w:val="000000"/>
        </w:rPr>
        <w:t>i</w:t>
      </w:r>
      <w:r w:rsidRPr="00D42817">
        <w:rPr>
          <w:color w:val="000000"/>
        </w:rPr>
        <w:t xml:space="preserve"> būti mažesnis už </w:t>
      </w:r>
      <w:r>
        <w:rPr>
          <w:color w:val="000000"/>
        </w:rPr>
        <w:t xml:space="preserve"> pajamų mokestį, apskaičiuotą nuo </w:t>
      </w:r>
      <w:r w:rsidRPr="00142436">
        <w:rPr>
          <w:color w:val="000000"/>
        </w:rPr>
        <w:t>dvylikos minimaliųjų mėnesinių algų</w:t>
      </w:r>
      <w:r>
        <w:rPr>
          <w:color w:val="000000"/>
        </w:rPr>
        <w:t xml:space="preserve">, galiojančių mokestinio laikotarpio, einančio prieš mokestinį laikotarpį, kuriam įsigyjamas verslo liudijimas, spalio 1 dieną, </w:t>
      </w:r>
      <w:r w:rsidRPr="00276506">
        <w:rPr>
          <w:color w:val="000000"/>
        </w:rPr>
        <w:t>ir pritaikius pajamų mokesčio tarifą, galiosiantį to mokestinio laikotarpio, kuriam įsigyjamas verslo liudijimas, sausio 1 d., t.y. 1</w:t>
      </w:r>
      <w:r>
        <w:rPr>
          <w:color w:val="000000"/>
        </w:rPr>
        <w:t>53</w:t>
      </w:r>
      <w:r w:rsidRPr="00276506">
        <w:rPr>
          <w:color w:val="000000"/>
        </w:rPr>
        <w:t>0 Lt (8</w:t>
      </w:r>
      <w:r>
        <w:rPr>
          <w:color w:val="000000"/>
        </w:rPr>
        <w:t>5</w:t>
      </w:r>
      <w:r w:rsidRPr="00276506">
        <w:rPr>
          <w:color w:val="000000"/>
        </w:rPr>
        <w:t>0 Lt x 12 mėn. x 15 proc.).</w:t>
      </w:r>
    </w:p>
    <w:p w:rsidR="00A81442" w:rsidRDefault="00A81442" w:rsidP="00AE4C24">
      <w:pPr>
        <w:ind w:firstLine="720"/>
        <w:jc w:val="both"/>
        <w:rPr>
          <w:color w:val="000000"/>
        </w:rPr>
      </w:pPr>
      <w:r w:rsidRPr="007452E2">
        <w:t>Pagal GPMĮ</w:t>
      </w:r>
      <w:r>
        <w:t xml:space="preserve"> nuostatas s</w:t>
      </w:r>
      <w:r w:rsidRPr="007452E2">
        <w:t>avivaldybių taryb</w:t>
      </w:r>
      <w:r>
        <w:t>os taip pat turi</w:t>
      </w:r>
      <w:r w:rsidRPr="007452E2">
        <w:t xml:space="preserve"> teis</w:t>
      </w:r>
      <w:r>
        <w:t>ę</w:t>
      </w:r>
      <w:r w:rsidRPr="007452E2">
        <w:t xml:space="preserve"> nustatyti mažesnį fiksuotą pajamų mokestį</w:t>
      </w:r>
      <w:r w:rsidRPr="00F01F72">
        <w:rPr>
          <w:color w:val="FF0000"/>
        </w:rPr>
        <w:t xml:space="preserve"> </w:t>
      </w:r>
      <w:r w:rsidRPr="0016378B">
        <w:rPr>
          <w:color w:val="000000"/>
        </w:rPr>
        <w:t xml:space="preserve">asmenims, įsigyjantiems verslo liudijimą verstis verslo liudijime nurodytos rūšies veikla visoje Lietuvos </w:t>
      </w:r>
      <w:r>
        <w:t>Respublikoje, išskyrus Alytaus, Kauno, Klaipėdos, Palangos, Panevėžio, Šiaulių, Vilniaus miestų savivaldybių ir Marijampolės bei Neringos</w:t>
      </w:r>
      <w:r w:rsidRPr="00F04560">
        <w:t xml:space="preserve"> </w:t>
      </w:r>
      <w:r>
        <w:t>savivaldybių teritorijas</w:t>
      </w:r>
      <w:r w:rsidRPr="007452E2">
        <w:t>.</w:t>
      </w:r>
    </w:p>
    <w:p w:rsidR="00A81442" w:rsidRPr="00C56D6F" w:rsidRDefault="00A81442" w:rsidP="00AE4C24">
      <w:pPr>
        <w:pStyle w:val="BodyTextIndent3"/>
        <w:spacing w:after="0"/>
        <w:ind w:lef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56D6F">
        <w:rPr>
          <w:sz w:val="24"/>
          <w:szCs w:val="24"/>
        </w:rPr>
        <w:t>Atkreiptinas dėmesys, kad nustatytas mažiausias fiksuoto dydžio pajamų mokestis - 1</w:t>
      </w:r>
      <w:r>
        <w:rPr>
          <w:sz w:val="24"/>
          <w:szCs w:val="24"/>
        </w:rPr>
        <w:t>53</w:t>
      </w:r>
      <w:r w:rsidRPr="00C56D6F">
        <w:rPr>
          <w:sz w:val="24"/>
          <w:szCs w:val="24"/>
        </w:rPr>
        <w:t xml:space="preserve">0 Lt yra metinis mokestis. Pagal LR Vyriausybės </w:t>
      </w:r>
      <w:r w:rsidRPr="00336491">
        <w:rPr>
          <w:sz w:val="24"/>
          <w:szCs w:val="24"/>
        </w:rPr>
        <w:t>2011 m. spalio 27 d. nutarim</w:t>
      </w:r>
      <w:r>
        <w:rPr>
          <w:sz w:val="24"/>
          <w:szCs w:val="24"/>
        </w:rPr>
        <w:t>ą</w:t>
      </w:r>
      <w:r w:rsidRPr="00336491">
        <w:rPr>
          <w:sz w:val="24"/>
          <w:szCs w:val="24"/>
        </w:rPr>
        <w:t xml:space="preserve"> verslo liudijimai išduodami pageidaujamam</w:t>
      </w:r>
      <w:r w:rsidRPr="00C56D6F">
        <w:rPr>
          <w:sz w:val="24"/>
          <w:szCs w:val="24"/>
        </w:rPr>
        <w:t xml:space="preserve"> kalendorinių metų laikotarpiui, bet ne ilgiau kaip kalendoriniams metams ir ne trumpiau kaip 5 dienoms, išskyrus prekybos verslo liudijimus, kuriuos galima įsigyti vienai arba kelioms dienoms ir mokėtinas pajamų mokestis apskaičiuojamas proporcingai verslo liudijimo galiojimo laikotarpiui.</w:t>
      </w:r>
    </w:p>
    <w:p w:rsidR="00A81442" w:rsidRDefault="00A81442" w:rsidP="00AE4C24">
      <w:pPr>
        <w:ind w:firstLine="720"/>
        <w:jc w:val="both"/>
      </w:pPr>
      <w:r w:rsidRPr="007452E2">
        <w:t>Pagal GPMĮ</w:t>
      </w:r>
      <w:r>
        <w:t xml:space="preserve"> nuostatas s</w:t>
      </w:r>
      <w:r w:rsidRPr="007452E2">
        <w:t>avivaldybių taryb</w:t>
      </w:r>
      <w:r>
        <w:t>os turi</w:t>
      </w:r>
      <w:r w:rsidRPr="007452E2">
        <w:t xml:space="preserve"> teis</w:t>
      </w:r>
      <w:r>
        <w:t>ę</w:t>
      </w:r>
      <w:r w:rsidRPr="007452E2">
        <w:t xml:space="preserve"> nustatyti mažesnį fiksuotą pajamų mokestį</w:t>
      </w:r>
      <w:r>
        <w:t>:</w:t>
      </w:r>
    </w:p>
    <w:p w:rsidR="00A81442" w:rsidRDefault="00A81442" w:rsidP="00AE4C24">
      <w:pPr>
        <w:ind w:firstLine="720"/>
        <w:jc w:val="both"/>
      </w:pPr>
      <w:r>
        <w:t>-</w:t>
      </w:r>
      <w:r w:rsidRPr="007452E2">
        <w:t xml:space="preserve"> </w:t>
      </w:r>
      <w:r>
        <w:t xml:space="preserve">socialiai remtinoms </w:t>
      </w:r>
      <w:r w:rsidRPr="007452E2">
        <w:t>gyventojų grupėms</w:t>
      </w:r>
      <w:r>
        <w:t xml:space="preserve"> (asmenims, sukakusiems pensijos amžių, neįgaliems asmenims ir kt.)</w:t>
      </w:r>
      <w:r>
        <w:rPr>
          <w:szCs w:val="24"/>
        </w:rPr>
        <w:t>;</w:t>
      </w:r>
    </w:p>
    <w:p w:rsidR="00A81442" w:rsidRDefault="00A81442" w:rsidP="00AE4C24">
      <w:pPr>
        <w:ind w:firstLine="720"/>
        <w:jc w:val="both"/>
        <w:rPr>
          <w:szCs w:val="24"/>
        </w:rPr>
      </w:pPr>
      <w:r>
        <w:t xml:space="preserve">-   asmenims, </w:t>
      </w:r>
      <w:r w:rsidRPr="007452E2">
        <w:rPr>
          <w:szCs w:val="24"/>
        </w:rPr>
        <w:t>įsigyjantiems verslo liudijimą verstis tradicinių amatų veikla</w:t>
      </w:r>
      <w:r>
        <w:rPr>
          <w:szCs w:val="24"/>
        </w:rPr>
        <w:t>;</w:t>
      </w:r>
    </w:p>
    <w:p w:rsidR="00A81442" w:rsidRDefault="00A81442" w:rsidP="00AE4C24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F82C20">
        <w:rPr>
          <w:szCs w:val="24"/>
        </w:rPr>
        <w:t>asmenims</w:t>
      </w:r>
      <w:r w:rsidRPr="007452E2">
        <w:rPr>
          <w:szCs w:val="24"/>
        </w:rPr>
        <w:t>, kurie laikotarpiu, kuriam įsigyjamas verslo liudijimas, gauna su darbo santykiais ar jų esmę atitinkančiais santykiais susijusių pajamų</w:t>
      </w:r>
      <w:r>
        <w:rPr>
          <w:szCs w:val="24"/>
        </w:rPr>
        <w:t xml:space="preserve">. </w:t>
      </w:r>
    </w:p>
    <w:p w:rsidR="00A81442" w:rsidRDefault="00A81442" w:rsidP="00AE4C24">
      <w:pPr>
        <w:ind w:firstLine="720"/>
        <w:jc w:val="both"/>
      </w:pPr>
      <w:r>
        <w:t>Valstybinės mokesčių inspekcijos (toliau – VMI) duomenys apie Klaipėdos miesto savivaldybėje išduodamus verslo liudijimus, už išduodamus verslo liudijimus gaunamas pajamas ir suteikiamas lengvatas:</w:t>
      </w:r>
    </w:p>
    <w:p w:rsidR="00A81442" w:rsidRDefault="00A81442" w:rsidP="00AE4C24">
      <w:pPr>
        <w:ind w:firstLine="720"/>
        <w:jc w:val="both"/>
      </w:pPr>
    </w:p>
    <w:tbl>
      <w:tblPr>
        <w:tblW w:w="0" w:type="auto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1083"/>
        <w:gridCol w:w="916"/>
        <w:gridCol w:w="908"/>
        <w:gridCol w:w="1083"/>
        <w:gridCol w:w="880"/>
        <w:gridCol w:w="887"/>
        <w:gridCol w:w="1206"/>
        <w:gridCol w:w="1236"/>
      </w:tblGrid>
      <w:tr w:rsidR="00A81442" w:rsidTr="002E3706">
        <w:tc>
          <w:tcPr>
            <w:tcW w:w="1881" w:type="dxa"/>
            <w:vMerge w:val="restart"/>
          </w:tcPr>
          <w:p w:rsidR="00A81442" w:rsidRDefault="00A81442" w:rsidP="002E3706">
            <w:pPr>
              <w:jc w:val="both"/>
            </w:pPr>
            <w:r w:rsidRPr="001D36D7">
              <w:rPr>
                <w:b/>
              </w:rPr>
              <w:t>Rodiklis</w:t>
            </w:r>
          </w:p>
        </w:tc>
        <w:tc>
          <w:tcPr>
            <w:tcW w:w="1083" w:type="dxa"/>
            <w:vMerge w:val="restart"/>
          </w:tcPr>
          <w:p w:rsidR="00A81442" w:rsidRDefault="00A81442" w:rsidP="002E3706">
            <w:pPr>
              <w:jc w:val="both"/>
            </w:pPr>
            <w:r w:rsidRPr="001D36D7">
              <w:rPr>
                <w:b/>
              </w:rPr>
              <w:t>20</w:t>
            </w:r>
            <w:r>
              <w:rPr>
                <w:b/>
              </w:rPr>
              <w:t>10</w:t>
            </w:r>
            <w:r w:rsidRPr="001D36D7">
              <w:rPr>
                <w:b/>
              </w:rPr>
              <w:t xml:space="preserve"> m.</w:t>
            </w:r>
          </w:p>
        </w:tc>
        <w:tc>
          <w:tcPr>
            <w:tcW w:w="1824" w:type="dxa"/>
            <w:gridSpan w:val="2"/>
          </w:tcPr>
          <w:p w:rsidR="00A81442" w:rsidRPr="001D36D7" w:rsidRDefault="00A81442" w:rsidP="002E3706">
            <w:pPr>
              <w:jc w:val="both"/>
              <w:rPr>
                <w:sz w:val="20"/>
              </w:rPr>
            </w:pPr>
            <w:r w:rsidRPr="001D36D7">
              <w:rPr>
                <w:sz w:val="20"/>
              </w:rPr>
              <w:t>tame skaičiuje</w:t>
            </w:r>
          </w:p>
        </w:tc>
        <w:tc>
          <w:tcPr>
            <w:tcW w:w="1083" w:type="dxa"/>
            <w:vMerge w:val="restart"/>
          </w:tcPr>
          <w:p w:rsidR="00A81442" w:rsidRDefault="00A81442" w:rsidP="002E3706">
            <w:pPr>
              <w:jc w:val="both"/>
            </w:pPr>
            <w:r w:rsidRPr="001D36D7">
              <w:rPr>
                <w:b/>
              </w:rPr>
              <w:t>201</w:t>
            </w:r>
            <w:r>
              <w:rPr>
                <w:b/>
              </w:rPr>
              <w:t>1</w:t>
            </w:r>
            <w:r w:rsidRPr="001D36D7">
              <w:rPr>
                <w:b/>
              </w:rPr>
              <w:t xml:space="preserve"> m.</w:t>
            </w:r>
          </w:p>
        </w:tc>
        <w:tc>
          <w:tcPr>
            <w:tcW w:w="1767" w:type="dxa"/>
            <w:gridSpan w:val="2"/>
          </w:tcPr>
          <w:p w:rsidR="00A81442" w:rsidRDefault="00A81442" w:rsidP="002E3706">
            <w:pPr>
              <w:jc w:val="both"/>
            </w:pPr>
            <w:r w:rsidRPr="001D36D7">
              <w:rPr>
                <w:sz w:val="20"/>
              </w:rPr>
              <w:t>tame skaičiuje</w:t>
            </w:r>
          </w:p>
        </w:tc>
        <w:tc>
          <w:tcPr>
            <w:tcW w:w="1206" w:type="dxa"/>
            <w:vMerge w:val="restart"/>
          </w:tcPr>
          <w:p w:rsidR="00A81442" w:rsidRPr="001D36D7" w:rsidRDefault="00A81442" w:rsidP="002E3706">
            <w:pPr>
              <w:jc w:val="both"/>
              <w:rPr>
                <w:b/>
              </w:rPr>
            </w:pPr>
            <w:r w:rsidRPr="001D36D7">
              <w:rPr>
                <w:b/>
              </w:rPr>
              <w:t>201</w:t>
            </w:r>
            <w:r>
              <w:rPr>
                <w:b/>
              </w:rPr>
              <w:t>2</w:t>
            </w:r>
            <w:r w:rsidRPr="001D36D7">
              <w:rPr>
                <w:b/>
              </w:rPr>
              <w:t xml:space="preserve"> m. </w:t>
            </w:r>
          </w:p>
          <w:p w:rsidR="00A81442" w:rsidRDefault="00A81442" w:rsidP="002E3706">
            <w:pPr>
              <w:jc w:val="both"/>
            </w:pPr>
          </w:p>
        </w:tc>
        <w:tc>
          <w:tcPr>
            <w:tcW w:w="1236" w:type="dxa"/>
          </w:tcPr>
          <w:p w:rsidR="00A81442" w:rsidRDefault="00A81442" w:rsidP="002E3706">
            <w:pPr>
              <w:jc w:val="both"/>
            </w:pPr>
            <w:r w:rsidRPr="001D36D7">
              <w:rPr>
                <w:sz w:val="20"/>
              </w:rPr>
              <w:t>tame skaič.</w:t>
            </w:r>
          </w:p>
        </w:tc>
      </w:tr>
      <w:tr w:rsidR="00A81442" w:rsidTr="002E3706">
        <w:tc>
          <w:tcPr>
            <w:tcW w:w="1881" w:type="dxa"/>
            <w:vMerge/>
          </w:tcPr>
          <w:p w:rsidR="00A81442" w:rsidRDefault="00A81442" w:rsidP="002E3706">
            <w:pPr>
              <w:jc w:val="both"/>
            </w:pPr>
          </w:p>
        </w:tc>
        <w:tc>
          <w:tcPr>
            <w:tcW w:w="1083" w:type="dxa"/>
            <w:vMerge/>
          </w:tcPr>
          <w:p w:rsidR="00A81442" w:rsidRDefault="00A81442" w:rsidP="002E3706">
            <w:pPr>
              <w:jc w:val="both"/>
            </w:pPr>
          </w:p>
        </w:tc>
        <w:tc>
          <w:tcPr>
            <w:tcW w:w="916" w:type="dxa"/>
          </w:tcPr>
          <w:p w:rsidR="00A81442" w:rsidRPr="001D36D7" w:rsidRDefault="00A81442" w:rsidP="002E3706">
            <w:pPr>
              <w:jc w:val="both"/>
              <w:rPr>
                <w:sz w:val="20"/>
              </w:rPr>
            </w:pPr>
            <w:r w:rsidRPr="001D36D7">
              <w:rPr>
                <w:sz w:val="20"/>
              </w:rPr>
              <w:t>I pusm.</w:t>
            </w:r>
          </w:p>
        </w:tc>
        <w:tc>
          <w:tcPr>
            <w:tcW w:w="908" w:type="dxa"/>
          </w:tcPr>
          <w:p w:rsidR="00A81442" w:rsidRPr="001D36D7" w:rsidRDefault="00A81442" w:rsidP="002E3706">
            <w:pPr>
              <w:jc w:val="both"/>
              <w:rPr>
                <w:sz w:val="20"/>
              </w:rPr>
            </w:pPr>
            <w:r w:rsidRPr="001D36D7">
              <w:rPr>
                <w:sz w:val="20"/>
              </w:rPr>
              <w:t>II pusm.</w:t>
            </w:r>
          </w:p>
        </w:tc>
        <w:tc>
          <w:tcPr>
            <w:tcW w:w="1083" w:type="dxa"/>
            <w:vMerge/>
          </w:tcPr>
          <w:p w:rsidR="00A81442" w:rsidRDefault="00A81442" w:rsidP="002E3706">
            <w:pPr>
              <w:jc w:val="both"/>
            </w:pPr>
          </w:p>
        </w:tc>
        <w:tc>
          <w:tcPr>
            <w:tcW w:w="880" w:type="dxa"/>
          </w:tcPr>
          <w:p w:rsidR="00A81442" w:rsidRPr="001D36D7" w:rsidRDefault="00A81442" w:rsidP="002E3706">
            <w:pPr>
              <w:jc w:val="both"/>
              <w:rPr>
                <w:sz w:val="20"/>
              </w:rPr>
            </w:pPr>
            <w:r w:rsidRPr="001D36D7">
              <w:rPr>
                <w:sz w:val="20"/>
              </w:rPr>
              <w:t>I pusm.</w:t>
            </w:r>
          </w:p>
        </w:tc>
        <w:tc>
          <w:tcPr>
            <w:tcW w:w="887" w:type="dxa"/>
          </w:tcPr>
          <w:p w:rsidR="00A81442" w:rsidRPr="001D36D7" w:rsidRDefault="00A81442" w:rsidP="002E3706">
            <w:pPr>
              <w:jc w:val="both"/>
              <w:rPr>
                <w:sz w:val="20"/>
              </w:rPr>
            </w:pPr>
            <w:r w:rsidRPr="001D36D7">
              <w:rPr>
                <w:sz w:val="20"/>
              </w:rPr>
              <w:t>II pusm.</w:t>
            </w:r>
          </w:p>
        </w:tc>
        <w:tc>
          <w:tcPr>
            <w:tcW w:w="1206" w:type="dxa"/>
            <w:vMerge/>
          </w:tcPr>
          <w:p w:rsidR="00A81442" w:rsidRDefault="00A81442" w:rsidP="002E3706">
            <w:pPr>
              <w:jc w:val="both"/>
            </w:pPr>
          </w:p>
        </w:tc>
        <w:tc>
          <w:tcPr>
            <w:tcW w:w="1236" w:type="dxa"/>
          </w:tcPr>
          <w:p w:rsidR="00A81442" w:rsidRDefault="00A81442" w:rsidP="002E3706">
            <w:pPr>
              <w:jc w:val="both"/>
            </w:pPr>
            <w:r w:rsidRPr="001D36D7">
              <w:rPr>
                <w:sz w:val="20"/>
              </w:rPr>
              <w:t>I pusm.</w:t>
            </w:r>
          </w:p>
        </w:tc>
      </w:tr>
      <w:tr w:rsidR="00A81442" w:rsidRPr="001D36D7" w:rsidTr="002E3706">
        <w:tc>
          <w:tcPr>
            <w:tcW w:w="1881" w:type="dxa"/>
          </w:tcPr>
          <w:p w:rsidR="00A81442" w:rsidRPr="001D36D7" w:rsidRDefault="00A81442" w:rsidP="002E3706">
            <w:pPr>
              <w:jc w:val="both"/>
              <w:rPr>
                <w:sz w:val="20"/>
              </w:rPr>
            </w:pPr>
            <w:r w:rsidRPr="001D36D7">
              <w:rPr>
                <w:sz w:val="20"/>
              </w:rPr>
              <w:t>Gyventojų skaičius, ėmęs verslo liudijimus</w:t>
            </w:r>
          </w:p>
        </w:tc>
        <w:tc>
          <w:tcPr>
            <w:tcW w:w="1083" w:type="dxa"/>
          </w:tcPr>
          <w:p w:rsidR="00A81442" w:rsidRPr="001D36D7" w:rsidRDefault="00A81442" w:rsidP="002E3706">
            <w:pPr>
              <w:jc w:val="both"/>
              <w:rPr>
                <w:sz w:val="20"/>
              </w:rPr>
            </w:pPr>
          </w:p>
          <w:p w:rsidR="00A81442" w:rsidRPr="001D36D7" w:rsidRDefault="00A81442" w:rsidP="002E3706">
            <w:pPr>
              <w:jc w:val="both"/>
              <w:rPr>
                <w:sz w:val="20"/>
              </w:rPr>
            </w:pPr>
            <w:r w:rsidRPr="001D36D7">
              <w:rPr>
                <w:sz w:val="20"/>
              </w:rPr>
              <w:t xml:space="preserve">  3694</w:t>
            </w:r>
          </w:p>
        </w:tc>
        <w:tc>
          <w:tcPr>
            <w:tcW w:w="916" w:type="dxa"/>
          </w:tcPr>
          <w:p w:rsidR="00A81442" w:rsidRPr="001D36D7" w:rsidRDefault="00A81442" w:rsidP="002E3706">
            <w:pPr>
              <w:jc w:val="both"/>
              <w:rPr>
                <w:sz w:val="20"/>
              </w:rPr>
            </w:pPr>
          </w:p>
        </w:tc>
        <w:tc>
          <w:tcPr>
            <w:tcW w:w="908" w:type="dxa"/>
          </w:tcPr>
          <w:p w:rsidR="00A81442" w:rsidRPr="001D36D7" w:rsidRDefault="00A81442" w:rsidP="002E3706">
            <w:pPr>
              <w:jc w:val="both"/>
              <w:rPr>
                <w:sz w:val="20"/>
              </w:rPr>
            </w:pPr>
          </w:p>
        </w:tc>
        <w:tc>
          <w:tcPr>
            <w:tcW w:w="1083" w:type="dxa"/>
          </w:tcPr>
          <w:p w:rsidR="00A81442" w:rsidRDefault="00A81442" w:rsidP="002E3706">
            <w:pPr>
              <w:jc w:val="both"/>
              <w:rPr>
                <w:sz w:val="20"/>
              </w:rPr>
            </w:pPr>
          </w:p>
          <w:p w:rsidR="00A81442" w:rsidRPr="001D36D7" w:rsidRDefault="00A81442" w:rsidP="002E370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3875</w:t>
            </w:r>
          </w:p>
        </w:tc>
        <w:tc>
          <w:tcPr>
            <w:tcW w:w="880" w:type="dxa"/>
          </w:tcPr>
          <w:p w:rsidR="00A81442" w:rsidRDefault="00A81442" w:rsidP="002E3706">
            <w:pPr>
              <w:jc w:val="both"/>
              <w:rPr>
                <w:sz w:val="20"/>
              </w:rPr>
            </w:pPr>
          </w:p>
          <w:p w:rsidR="00A81442" w:rsidRPr="001D36D7" w:rsidRDefault="00A81442" w:rsidP="002E3706">
            <w:pPr>
              <w:jc w:val="both"/>
              <w:rPr>
                <w:sz w:val="20"/>
              </w:rPr>
            </w:pPr>
          </w:p>
        </w:tc>
        <w:tc>
          <w:tcPr>
            <w:tcW w:w="887" w:type="dxa"/>
          </w:tcPr>
          <w:p w:rsidR="00A81442" w:rsidRPr="001D36D7" w:rsidRDefault="00A81442" w:rsidP="002E370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</w:tcPr>
          <w:p w:rsidR="00A81442" w:rsidRPr="001D36D7" w:rsidRDefault="00A81442" w:rsidP="002E3706">
            <w:pPr>
              <w:jc w:val="both"/>
              <w:rPr>
                <w:sz w:val="20"/>
              </w:rPr>
            </w:pPr>
          </w:p>
          <w:p w:rsidR="00A81442" w:rsidRPr="001D36D7" w:rsidRDefault="00A81442" w:rsidP="002E3706">
            <w:pPr>
              <w:jc w:val="both"/>
              <w:rPr>
                <w:sz w:val="20"/>
              </w:rPr>
            </w:pPr>
            <w:r w:rsidRPr="001D36D7">
              <w:rPr>
                <w:sz w:val="20"/>
              </w:rPr>
              <w:t xml:space="preserve">  3</w:t>
            </w:r>
            <w:r>
              <w:rPr>
                <w:sz w:val="20"/>
              </w:rPr>
              <w:t>389</w:t>
            </w:r>
          </w:p>
        </w:tc>
        <w:tc>
          <w:tcPr>
            <w:tcW w:w="1236" w:type="dxa"/>
          </w:tcPr>
          <w:p w:rsidR="00A81442" w:rsidRPr="001D36D7" w:rsidRDefault="00A81442" w:rsidP="002E3706">
            <w:pPr>
              <w:jc w:val="both"/>
              <w:rPr>
                <w:sz w:val="20"/>
              </w:rPr>
            </w:pPr>
          </w:p>
        </w:tc>
      </w:tr>
      <w:tr w:rsidR="00A81442" w:rsidRPr="001D36D7" w:rsidTr="002E3706">
        <w:tc>
          <w:tcPr>
            <w:tcW w:w="1881" w:type="dxa"/>
          </w:tcPr>
          <w:p w:rsidR="00A81442" w:rsidRPr="001D36D7" w:rsidRDefault="00A81442" w:rsidP="002E3706">
            <w:pPr>
              <w:jc w:val="both"/>
              <w:rPr>
                <w:sz w:val="20"/>
              </w:rPr>
            </w:pPr>
            <w:r w:rsidRPr="001D36D7">
              <w:rPr>
                <w:b/>
                <w:sz w:val="20"/>
              </w:rPr>
              <w:t>Mokėtina suma, tūkst.Lt</w:t>
            </w:r>
          </w:p>
        </w:tc>
        <w:tc>
          <w:tcPr>
            <w:tcW w:w="1083" w:type="dxa"/>
          </w:tcPr>
          <w:p w:rsidR="00A81442" w:rsidRPr="001D36D7" w:rsidRDefault="00A81442" w:rsidP="002E3706">
            <w:pPr>
              <w:jc w:val="both"/>
              <w:rPr>
                <w:sz w:val="20"/>
              </w:rPr>
            </w:pPr>
          </w:p>
          <w:p w:rsidR="00A81442" w:rsidRPr="001D36D7" w:rsidRDefault="00A81442" w:rsidP="002E3706">
            <w:pPr>
              <w:jc w:val="both"/>
              <w:rPr>
                <w:b/>
                <w:sz w:val="20"/>
              </w:rPr>
            </w:pPr>
            <w:r w:rsidRPr="001D36D7">
              <w:rPr>
                <w:b/>
                <w:sz w:val="20"/>
              </w:rPr>
              <w:t xml:space="preserve"> 1178,5</w:t>
            </w:r>
          </w:p>
        </w:tc>
        <w:tc>
          <w:tcPr>
            <w:tcW w:w="916" w:type="dxa"/>
          </w:tcPr>
          <w:p w:rsidR="00A81442" w:rsidRPr="001D36D7" w:rsidRDefault="00A81442" w:rsidP="002E3706">
            <w:pPr>
              <w:jc w:val="both"/>
              <w:rPr>
                <w:sz w:val="20"/>
              </w:rPr>
            </w:pPr>
          </w:p>
          <w:p w:rsidR="00A81442" w:rsidRPr="001D36D7" w:rsidRDefault="00A81442" w:rsidP="002E3706">
            <w:pPr>
              <w:jc w:val="both"/>
              <w:rPr>
                <w:sz w:val="20"/>
              </w:rPr>
            </w:pPr>
            <w:r w:rsidRPr="001D36D7">
              <w:rPr>
                <w:sz w:val="20"/>
              </w:rPr>
              <w:t xml:space="preserve"> 804,6</w:t>
            </w:r>
          </w:p>
        </w:tc>
        <w:tc>
          <w:tcPr>
            <w:tcW w:w="908" w:type="dxa"/>
          </w:tcPr>
          <w:p w:rsidR="00A81442" w:rsidRPr="001D36D7" w:rsidRDefault="00A81442" w:rsidP="002E3706">
            <w:pPr>
              <w:jc w:val="both"/>
              <w:rPr>
                <w:sz w:val="20"/>
              </w:rPr>
            </w:pPr>
          </w:p>
          <w:p w:rsidR="00A81442" w:rsidRPr="001D36D7" w:rsidRDefault="00A81442" w:rsidP="002E3706">
            <w:pPr>
              <w:jc w:val="both"/>
              <w:rPr>
                <w:sz w:val="20"/>
              </w:rPr>
            </w:pPr>
            <w:r w:rsidRPr="001D36D7">
              <w:rPr>
                <w:sz w:val="20"/>
              </w:rPr>
              <w:t>373,9</w:t>
            </w:r>
          </w:p>
        </w:tc>
        <w:tc>
          <w:tcPr>
            <w:tcW w:w="1083" w:type="dxa"/>
          </w:tcPr>
          <w:p w:rsidR="00A81442" w:rsidRDefault="00A81442" w:rsidP="002E3706">
            <w:pPr>
              <w:jc w:val="both"/>
              <w:rPr>
                <w:b/>
                <w:sz w:val="20"/>
              </w:rPr>
            </w:pPr>
          </w:p>
          <w:p w:rsidR="00A81442" w:rsidRPr="001D36D7" w:rsidRDefault="00A81442" w:rsidP="002E370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841,8</w:t>
            </w:r>
          </w:p>
        </w:tc>
        <w:tc>
          <w:tcPr>
            <w:tcW w:w="880" w:type="dxa"/>
          </w:tcPr>
          <w:p w:rsidR="00A81442" w:rsidRDefault="00A81442" w:rsidP="002E3706">
            <w:pPr>
              <w:jc w:val="both"/>
              <w:rPr>
                <w:sz w:val="20"/>
              </w:rPr>
            </w:pPr>
          </w:p>
          <w:p w:rsidR="00A81442" w:rsidRPr="001D36D7" w:rsidRDefault="00A81442" w:rsidP="002E3706">
            <w:pPr>
              <w:jc w:val="both"/>
              <w:rPr>
                <w:sz w:val="20"/>
              </w:rPr>
            </w:pPr>
            <w:r>
              <w:rPr>
                <w:sz w:val="20"/>
              </w:rPr>
              <w:t>563,2</w:t>
            </w:r>
          </w:p>
        </w:tc>
        <w:tc>
          <w:tcPr>
            <w:tcW w:w="887" w:type="dxa"/>
          </w:tcPr>
          <w:p w:rsidR="00A81442" w:rsidRDefault="00A81442" w:rsidP="002E3706">
            <w:pPr>
              <w:jc w:val="both"/>
              <w:rPr>
                <w:sz w:val="20"/>
              </w:rPr>
            </w:pPr>
          </w:p>
          <w:p w:rsidR="00A81442" w:rsidRPr="001D36D7" w:rsidRDefault="00A81442" w:rsidP="002E3706">
            <w:pPr>
              <w:jc w:val="both"/>
              <w:rPr>
                <w:sz w:val="20"/>
              </w:rPr>
            </w:pPr>
            <w:r>
              <w:rPr>
                <w:sz w:val="20"/>
              </w:rPr>
              <w:t>278,6</w:t>
            </w:r>
          </w:p>
        </w:tc>
        <w:tc>
          <w:tcPr>
            <w:tcW w:w="1206" w:type="dxa"/>
          </w:tcPr>
          <w:p w:rsidR="00A81442" w:rsidRPr="001D36D7" w:rsidRDefault="00A81442" w:rsidP="002E3706">
            <w:pPr>
              <w:jc w:val="both"/>
              <w:rPr>
                <w:sz w:val="20"/>
              </w:rPr>
            </w:pPr>
          </w:p>
          <w:p w:rsidR="00A81442" w:rsidRPr="001D36D7" w:rsidRDefault="00A81442" w:rsidP="002E3706">
            <w:pPr>
              <w:jc w:val="both"/>
              <w:rPr>
                <w:b/>
                <w:sz w:val="20"/>
              </w:rPr>
            </w:pPr>
            <w:r w:rsidRPr="001D36D7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885,1</w:t>
            </w:r>
          </w:p>
        </w:tc>
        <w:tc>
          <w:tcPr>
            <w:tcW w:w="1236" w:type="dxa"/>
          </w:tcPr>
          <w:p w:rsidR="00A81442" w:rsidRPr="001D36D7" w:rsidRDefault="00A81442" w:rsidP="002E3706">
            <w:pPr>
              <w:jc w:val="both"/>
              <w:rPr>
                <w:sz w:val="20"/>
              </w:rPr>
            </w:pPr>
          </w:p>
          <w:p w:rsidR="00A81442" w:rsidRPr="001D36D7" w:rsidRDefault="00A81442" w:rsidP="002E3706">
            <w:pPr>
              <w:jc w:val="both"/>
              <w:rPr>
                <w:sz w:val="20"/>
              </w:rPr>
            </w:pPr>
            <w:r w:rsidRPr="001D36D7">
              <w:rPr>
                <w:sz w:val="20"/>
              </w:rPr>
              <w:t xml:space="preserve">  </w:t>
            </w:r>
            <w:r>
              <w:rPr>
                <w:sz w:val="20"/>
              </w:rPr>
              <w:t>652,7</w:t>
            </w:r>
          </w:p>
        </w:tc>
      </w:tr>
      <w:tr w:rsidR="00A81442" w:rsidRPr="001D36D7" w:rsidTr="002E3706">
        <w:tc>
          <w:tcPr>
            <w:tcW w:w="1881" w:type="dxa"/>
          </w:tcPr>
          <w:p w:rsidR="00A81442" w:rsidRPr="001D36D7" w:rsidRDefault="00A81442" w:rsidP="002E3706">
            <w:pPr>
              <w:jc w:val="both"/>
              <w:rPr>
                <w:b/>
                <w:sz w:val="20"/>
              </w:rPr>
            </w:pPr>
            <w:r w:rsidRPr="001D36D7">
              <w:rPr>
                <w:sz w:val="20"/>
              </w:rPr>
              <w:t>Gyventojų skaičius, ėmęs verslo liudijimus su lengvatom</w:t>
            </w:r>
          </w:p>
        </w:tc>
        <w:tc>
          <w:tcPr>
            <w:tcW w:w="1083" w:type="dxa"/>
          </w:tcPr>
          <w:p w:rsidR="00A81442" w:rsidRPr="001D36D7" w:rsidRDefault="00A81442" w:rsidP="002E3706">
            <w:pPr>
              <w:jc w:val="both"/>
              <w:rPr>
                <w:sz w:val="20"/>
              </w:rPr>
            </w:pPr>
          </w:p>
          <w:p w:rsidR="00A81442" w:rsidRPr="001D36D7" w:rsidRDefault="00A81442" w:rsidP="002E3706">
            <w:pPr>
              <w:jc w:val="both"/>
              <w:rPr>
                <w:sz w:val="20"/>
              </w:rPr>
            </w:pPr>
            <w:r w:rsidRPr="001D36D7">
              <w:rPr>
                <w:sz w:val="20"/>
              </w:rPr>
              <w:t xml:space="preserve">  2924</w:t>
            </w:r>
          </w:p>
        </w:tc>
        <w:tc>
          <w:tcPr>
            <w:tcW w:w="916" w:type="dxa"/>
          </w:tcPr>
          <w:p w:rsidR="00A81442" w:rsidRPr="001D36D7" w:rsidRDefault="00A81442" w:rsidP="002E3706">
            <w:pPr>
              <w:jc w:val="both"/>
              <w:rPr>
                <w:sz w:val="20"/>
              </w:rPr>
            </w:pPr>
          </w:p>
        </w:tc>
        <w:tc>
          <w:tcPr>
            <w:tcW w:w="908" w:type="dxa"/>
          </w:tcPr>
          <w:p w:rsidR="00A81442" w:rsidRPr="001D36D7" w:rsidRDefault="00A81442" w:rsidP="002E3706">
            <w:pPr>
              <w:jc w:val="both"/>
              <w:rPr>
                <w:sz w:val="20"/>
              </w:rPr>
            </w:pPr>
          </w:p>
        </w:tc>
        <w:tc>
          <w:tcPr>
            <w:tcW w:w="1083" w:type="dxa"/>
          </w:tcPr>
          <w:p w:rsidR="00A81442" w:rsidRDefault="00A81442" w:rsidP="002E3706">
            <w:pPr>
              <w:jc w:val="both"/>
              <w:rPr>
                <w:sz w:val="20"/>
              </w:rPr>
            </w:pPr>
          </w:p>
          <w:p w:rsidR="00A81442" w:rsidRPr="001D36D7" w:rsidRDefault="00A81442" w:rsidP="002E3706">
            <w:pPr>
              <w:jc w:val="both"/>
              <w:rPr>
                <w:sz w:val="20"/>
              </w:rPr>
            </w:pPr>
            <w:r>
              <w:rPr>
                <w:sz w:val="20"/>
              </w:rPr>
              <w:t>3039</w:t>
            </w:r>
          </w:p>
        </w:tc>
        <w:tc>
          <w:tcPr>
            <w:tcW w:w="880" w:type="dxa"/>
          </w:tcPr>
          <w:p w:rsidR="00A81442" w:rsidRPr="001D36D7" w:rsidRDefault="00A81442" w:rsidP="002E3706">
            <w:pPr>
              <w:jc w:val="both"/>
              <w:rPr>
                <w:sz w:val="20"/>
              </w:rPr>
            </w:pPr>
          </w:p>
        </w:tc>
        <w:tc>
          <w:tcPr>
            <w:tcW w:w="887" w:type="dxa"/>
          </w:tcPr>
          <w:p w:rsidR="00A81442" w:rsidRPr="001D36D7" w:rsidRDefault="00A81442" w:rsidP="002E370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</w:tcPr>
          <w:p w:rsidR="00A81442" w:rsidRPr="001D36D7" w:rsidRDefault="00A81442" w:rsidP="002E3706">
            <w:pPr>
              <w:jc w:val="both"/>
              <w:rPr>
                <w:sz w:val="20"/>
              </w:rPr>
            </w:pPr>
          </w:p>
          <w:p w:rsidR="00A81442" w:rsidRPr="001D36D7" w:rsidRDefault="00A81442" w:rsidP="002E3706">
            <w:pPr>
              <w:jc w:val="both"/>
              <w:rPr>
                <w:sz w:val="20"/>
              </w:rPr>
            </w:pPr>
            <w:r w:rsidRPr="001D36D7">
              <w:rPr>
                <w:sz w:val="20"/>
              </w:rPr>
              <w:t xml:space="preserve">  </w:t>
            </w:r>
            <w:r>
              <w:rPr>
                <w:sz w:val="20"/>
              </w:rPr>
              <w:t>2654</w:t>
            </w:r>
          </w:p>
        </w:tc>
        <w:tc>
          <w:tcPr>
            <w:tcW w:w="1236" w:type="dxa"/>
          </w:tcPr>
          <w:p w:rsidR="00A81442" w:rsidRPr="001D36D7" w:rsidRDefault="00A81442" w:rsidP="002E3706">
            <w:pPr>
              <w:jc w:val="both"/>
              <w:rPr>
                <w:sz w:val="20"/>
              </w:rPr>
            </w:pPr>
          </w:p>
        </w:tc>
      </w:tr>
      <w:tr w:rsidR="00A81442" w:rsidRPr="001D36D7" w:rsidTr="002E3706">
        <w:tc>
          <w:tcPr>
            <w:tcW w:w="1881" w:type="dxa"/>
          </w:tcPr>
          <w:p w:rsidR="00A81442" w:rsidRPr="001D36D7" w:rsidRDefault="00A81442" w:rsidP="002E3706">
            <w:pPr>
              <w:jc w:val="both"/>
              <w:rPr>
                <w:sz w:val="20"/>
              </w:rPr>
            </w:pPr>
            <w:r w:rsidRPr="001D36D7">
              <w:rPr>
                <w:sz w:val="20"/>
              </w:rPr>
              <w:t>Lengvatų suma, tūkst.Lt</w:t>
            </w:r>
          </w:p>
        </w:tc>
        <w:tc>
          <w:tcPr>
            <w:tcW w:w="1083" w:type="dxa"/>
          </w:tcPr>
          <w:p w:rsidR="00A81442" w:rsidRPr="001D36D7" w:rsidRDefault="00A81442" w:rsidP="002E3706">
            <w:pPr>
              <w:jc w:val="both"/>
              <w:rPr>
                <w:sz w:val="20"/>
              </w:rPr>
            </w:pPr>
          </w:p>
          <w:p w:rsidR="00A81442" w:rsidRPr="001D36D7" w:rsidRDefault="00A81442" w:rsidP="002E3706">
            <w:pPr>
              <w:jc w:val="both"/>
              <w:rPr>
                <w:b/>
                <w:sz w:val="20"/>
              </w:rPr>
            </w:pPr>
            <w:r w:rsidRPr="001D36D7">
              <w:rPr>
                <w:sz w:val="20"/>
              </w:rPr>
              <w:t xml:space="preserve">  </w:t>
            </w:r>
            <w:r w:rsidRPr="001D36D7">
              <w:rPr>
                <w:b/>
                <w:sz w:val="20"/>
              </w:rPr>
              <w:t>696,4</w:t>
            </w:r>
          </w:p>
        </w:tc>
        <w:tc>
          <w:tcPr>
            <w:tcW w:w="916" w:type="dxa"/>
          </w:tcPr>
          <w:p w:rsidR="00A81442" w:rsidRPr="001D36D7" w:rsidRDefault="00A81442" w:rsidP="002E3706">
            <w:pPr>
              <w:jc w:val="both"/>
              <w:rPr>
                <w:sz w:val="20"/>
              </w:rPr>
            </w:pPr>
          </w:p>
          <w:p w:rsidR="00A81442" w:rsidRPr="001D36D7" w:rsidRDefault="00A81442" w:rsidP="002E3706">
            <w:pPr>
              <w:jc w:val="both"/>
              <w:rPr>
                <w:sz w:val="20"/>
              </w:rPr>
            </w:pPr>
            <w:r w:rsidRPr="001D36D7">
              <w:rPr>
                <w:sz w:val="20"/>
              </w:rPr>
              <w:t xml:space="preserve"> 478,9</w:t>
            </w:r>
          </w:p>
        </w:tc>
        <w:tc>
          <w:tcPr>
            <w:tcW w:w="908" w:type="dxa"/>
          </w:tcPr>
          <w:p w:rsidR="00A81442" w:rsidRPr="001D36D7" w:rsidRDefault="00A81442" w:rsidP="002E3706">
            <w:pPr>
              <w:jc w:val="both"/>
              <w:rPr>
                <w:sz w:val="20"/>
              </w:rPr>
            </w:pPr>
          </w:p>
          <w:p w:rsidR="00A81442" w:rsidRPr="001D36D7" w:rsidRDefault="00A81442" w:rsidP="002E3706">
            <w:pPr>
              <w:jc w:val="both"/>
              <w:rPr>
                <w:sz w:val="20"/>
              </w:rPr>
            </w:pPr>
            <w:r w:rsidRPr="001D36D7">
              <w:rPr>
                <w:sz w:val="20"/>
              </w:rPr>
              <w:t>217,5</w:t>
            </w:r>
          </w:p>
        </w:tc>
        <w:tc>
          <w:tcPr>
            <w:tcW w:w="1083" w:type="dxa"/>
          </w:tcPr>
          <w:p w:rsidR="00A81442" w:rsidRDefault="00A81442" w:rsidP="002E3706">
            <w:pPr>
              <w:jc w:val="both"/>
              <w:rPr>
                <w:b/>
                <w:sz w:val="20"/>
              </w:rPr>
            </w:pPr>
          </w:p>
          <w:p w:rsidR="00A81442" w:rsidRPr="001D36D7" w:rsidRDefault="00A81442" w:rsidP="002E370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341,5</w:t>
            </w:r>
          </w:p>
        </w:tc>
        <w:tc>
          <w:tcPr>
            <w:tcW w:w="880" w:type="dxa"/>
          </w:tcPr>
          <w:p w:rsidR="00A81442" w:rsidRDefault="00A81442" w:rsidP="002E3706">
            <w:pPr>
              <w:jc w:val="both"/>
              <w:rPr>
                <w:sz w:val="20"/>
              </w:rPr>
            </w:pPr>
          </w:p>
          <w:p w:rsidR="00A81442" w:rsidRPr="001D36D7" w:rsidRDefault="00A81442" w:rsidP="002E3706">
            <w:pPr>
              <w:jc w:val="both"/>
              <w:rPr>
                <w:sz w:val="20"/>
              </w:rPr>
            </w:pPr>
            <w:r>
              <w:rPr>
                <w:sz w:val="20"/>
              </w:rPr>
              <w:t>236,3</w:t>
            </w:r>
          </w:p>
        </w:tc>
        <w:tc>
          <w:tcPr>
            <w:tcW w:w="887" w:type="dxa"/>
          </w:tcPr>
          <w:p w:rsidR="00A81442" w:rsidRDefault="00A81442" w:rsidP="002E3706">
            <w:pPr>
              <w:jc w:val="both"/>
              <w:rPr>
                <w:sz w:val="20"/>
              </w:rPr>
            </w:pPr>
          </w:p>
          <w:p w:rsidR="00A81442" w:rsidRPr="001D36D7" w:rsidRDefault="00A81442" w:rsidP="002E3706">
            <w:pPr>
              <w:jc w:val="both"/>
              <w:rPr>
                <w:sz w:val="20"/>
              </w:rPr>
            </w:pPr>
            <w:r>
              <w:rPr>
                <w:sz w:val="20"/>
              </w:rPr>
              <w:t>105,2</w:t>
            </w:r>
          </w:p>
        </w:tc>
        <w:tc>
          <w:tcPr>
            <w:tcW w:w="1206" w:type="dxa"/>
          </w:tcPr>
          <w:p w:rsidR="00A81442" w:rsidRPr="001D36D7" w:rsidRDefault="00A81442" w:rsidP="002E3706">
            <w:pPr>
              <w:jc w:val="both"/>
              <w:rPr>
                <w:sz w:val="20"/>
              </w:rPr>
            </w:pPr>
          </w:p>
          <w:p w:rsidR="00A81442" w:rsidRPr="001D36D7" w:rsidRDefault="00A81442" w:rsidP="002E3706">
            <w:pPr>
              <w:jc w:val="both"/>
              <w:rPr>
                <w:b/>
                <w:sz w:val="20"/>
              </w:rPr>
            </w:pPr>
            <w:r w:rsidRPr="001D36D7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482,3</w:t>
            </w:r>
          </w:p>
        </w:tc>
        <w:tc>
          <w:tcPr>
            <w:tcW w:w="1236" w:type="dxa"/>
          </w:tcPr>
          <w:p w:rsidR="00A81442" w:rsidRPr="001D36D7" w:rsidRDefault="00A81442" w:rsidP="002E3706">
            <w:pPr>
              <w:jc w:val="both"/>
              <w:rPr>
                <w:sz w:val="20"/>
              </w:rPr>
            </w:pPr>
          </w:p>
          <w:p w:rsidR="00A81442" w:rsidRPr="001D36D7" w:rsidRDefault="00A81442" w:rsidP="002E3706">
            <w:pPr>
              <w:jc w:val="both"/>
              <w:rPr>
                <w:sz w:val="20"/>
              </w:rPr>
            </w:pPr>
            <w:r w:rsidRPr="001D36D7">
              <w:rPr>
                <w:sz w:val="20"/>
              </w:rPr>
              <w:t xml:space="preserve"> </w:t>
            </w:r>
            <w:r>
              <w:rPr>
                <w:sz w:val="20"/>
              </w:rPr>
              <w:t>362,9</w:t>
            </w:r>
          </w:p>
        </w:tc>
      </w:tr>
    </w:tbl>
    <w:p w:rsidR="00A81442" w:rsidRPr="005A55FC" w:rsidRDefault="00A81442" w:rsidP="00AE4C24">
      <w:pPr>
        <w:ind w:firstLine="720"/>
        <w:jc w:val="both"/>
        <w:rPr>
          <w:sz w:val="20"/>
        </w:rPr>
      </w:pPr>
    </w:p>
    <w:p w:rsidR="00A81442" w:rsidRDefault="00A81442" w:rsidP="00AE4C24">
      <w:pPr>
        <w:ind w:firstLine="720"/>
        <w:jc w:val="both"/>
        <w:rPr>
          <w:color w:val="000000"/>
        </w:rPr>
      </w:pPr>
      <w:r w:rsidRPr="007452E2">
        <w:t>G</w:t>
      </w:r>
      <w:r>
        <w:t>PMĮ</w:t>
      </w:r>
      <w:r w:rsidRPr="007452E2">
        <w:t xml:space="preserve"> 38 straipsniu nustatyta, kad fiksuoto dydžio pajamų mokestis už pajamas, gautas iš veiklos, kuria verčiamasi turint verslo liudijimą, įskaitomas į tos savivaldybės, kurios teritorijoje yra išduotas verslo liudijimas, biudžetą</w:t>
      </w:r>
      <w:r>
        <w:t xml:space="preserve">, todėl sprendimo </w:t>
      </w:r>
      <w:r w:rsidRPr="00187161">
        <w:t>projektu siūlom</w:t>
      </w:r>
      <w:r>
        <w:t>a</w:t>
      </w:r>
      <w:r w:rsidRPr="00187161">
        <w:t xml:space="preserve"> nustatyti mažesnį 1000  Lt fiksuotą pajamų mokesčio dydį asmenims, įsigyjan</w:t>
      </w:r>
      <w:r w:rsidRPr="0016378B">
        <w:rPr>
          <w:color w:val="000000"/>
        </w:rPr>
        <w:t xml:space="preserve">tiems verslo liudijimą verstis visoje Lietuvos </w:t>
      </w:r>
      <w:r>
        <w:t>Respublikoje, išskyrus Alytaus, Kauno, Klaipėdos, Palangos, Panevėžio, Šiaulių, Vilniaus miestų savivaldybių ir Marijampolės bei Neringos</w:t>
      </w:r>
      <w:r w:rsidRPr="00F04560">
        <w:t xml:space="preserve"> </w:t>
      </w:r>
      <w:r>
        <w:t>savivaldybių teritorijas</w:t>
      </w:r>
      <w:r w:rsidRPr="007452E2">
        <w:t>.</w:t>
      </w:r>
    </w:p>
    <w:p w:rsidR="00A81442" w:rsidRDefault="00A81442" w:rsidP="00AE4C24">
      <w:pPr>
        <w:ind w:firstLine="720"/>
        <w:jc w:val="both"/>
      </w:pPr>
      <w:r>
        <w:rPr>
          <w:b/>
        </w:rPr>
        <w:t xml:space="preserve"> </w:t>
      </w:r>
      <w:r w:rsidRPr="007452E2">
        <w:rPr>
          <w:b/>
        </w:rPr>
        <w:t>3. Kokių rezultatų laukiama</w:t>
      </w:r>
      <w:r w:rsidRPr="007452E2">
        <w:t xml:space="preserve">. </w:t>
      </w:r>
    </w:p>
    <w:p w:rsidR="00A81442" w:rsidRPr="005D3393" w:rsidRDefault="00A81442" w:rsidP="00AE4C24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Siekiant, kad gyventojai ir toliau vystytų smulkųjį verslą su verslo liudijimais,</w:t>
      </w:r>
      <w:r w:rsidRPr="005D3393">
        <w:rPr>
          <w:color w:val="000000"/>
        </w:rPr>
        <w:t xml:space="preserve"> </w:t>
      </w:r>
      <w:r>
        <w:rPr>
          <w:color w:val="000000"/>
        </w:rPr>
        <w:t>s</w:t>
      </w:r>
      <w:r w:rsidRPr="005D3393">
        <w:rPr>
          <w:color w:val="000000"/>
        </w:rPr>
        <w:t xml:space="preserve">prendimo projektu siūloma </w:t>
      </w:r>
      <w:r>
        <w:rPr>
          <w:color w:val="000000"/>
        </w:rPr>
        <w:t xml:space="preserve">Klaipėdos miesto savivaldybės teritorijoje </w:t>
      </w:r>
      <w:r w:rsidRPr="005D3393">
        <w:rPr>
          <w:color w:val="000000"/>
        </w:rPr>
        <w:t>201</w:t>
      </w:r>
      <w:r>
        <w:rPr>
          <w:color w:val="000000"/>
        </w:rPr>
        <w:t>3</w:t>
      </w:r>
      <w:r w:rsidRPr="005D3393">
        <w:rPr>
          <w:color w:val="000000"/>
        </w:rPr>
        <w:t xml:space="preserve"> meta</w:t>
      </w:r>
      <w:r>
        <w:rPr>
          <w:color w:val="000000"/>
        </w:rPr>
        <w:t>ms</w:t>
      </w:r>
      <w:r w:rsidRPr="005D3393">
        <w:rPr>
          <w:color w:val="000000"/>
        </w:rPr>
        <w:t xml:space="preserve"> </w:t>
      </w:r>
      <w:r>
        <w:rPr>
          <w:color w:val="000000"/>
        </w:rPr>
        <w:t xml:space="preserve">pagal </w:t>
      </w:r>
      <w:r w:rsidRPr="007452E2">
        <w:t>GPMĮ</w:t>
      </w:r>
      <w:r>
        <w:t xml:space="preserve"> </w:t>
      </w:r>
      <w:r>
        <w:rPr>
          <w:color w:val="000000"/>
        </w:rPr>
        <w:t xml:space="preserve">nuostatas </w:t>
      </w:r>
      <w:r w:rsidRPr="005D3393">
        <w:rPr>
          <w:color w:val="000000"/>
        </w:rPr>
        <w:t>nustatyti maž</w:t>
      </w:r>
      <w:r>
        <w:rPr>
          <w:color w:val="000000"/>
        </w:rPr>
        <w:t>iausius</w:t>
      </w:r>
      <w:r w:rsidRPr="005D3393">
        <w:rPr>
          <w:color w:val="000000"/>
        </w:rPr>
        <w:t xml:space="preserve"> fiksuot</w:t>
      </w:r>
      <w:r>
        <w:rPr>
          <w:color w:val="000000"/>
        </w:rPr>
        <w:t>o</w:t>
      </w:r>
      <w:r w:rsidRPr="005D3393">
        <w:rPr>
          <w:color w:val="000000"/>
        </w:rPr>
        <w:t xml:space="preserve"> pajamų mokesči</w:t>
      </w:r>
      <w:r>
        <w:rPr>
          <w:color w:val="000000"/>
        </w:rPr>
        <w:t>o dydžius visoms</w:t>
      </w:r>
      <w:r w:rsidRPr="005D3393">
        <w:rPr>
          <w:color w:val="000000"/>
        </w:rPr>
        <w:t xml:space="preserve"> veiklos rūši</w:t>
      </w:r>
      <w:r>
        <w:rPr>
          <w:color w:val="000000"/>
        </w:rPr>
        <w:t xml:space="preserve">ms, t.y. 1530 Lt ir suteikti </w:t>
      </w:r>
      <w:r w:rsidRPr="0098723A">
        <w:rPr>
          <w:color w:val="FF0000"/>
        </w:rPr>
        <w:t xml:space="preserve"> </w:t>
      </w:r>
      <w:r>
        <w:rPr>
          <w:color w:val="000000"/>
        </w:rPr>
        <w:t xml:space="preserve">50  proc. fiksuoto </w:t>
      </w:r>
      <w:r>
        <w:t xml:space="preserve"> dydžio pajamų mokesčiui galimas </w:t>
      </w:r>
      <w:r>
        <w:rPr>
          <w:color w:val="000000"/>
        </w:rPr>
        <w:t xml:space="preserve">lengvatas socialiai remtinoms gyventojų grupėms ir kitiems įstatymu numatytiems asmenims. </w:t>
      </w:r>
    </w:p>
    <w:p w:rsidR="00A81442" w:rsidRDefault="00A81442" w:rsidP="00AE4C24">
      <w:pPr>
        <w:ind w:firstLine="720"/>
        <w:jc w:val="both"/>
      </w:pPr>
      <w:r>
        <w:rPr>
          <w:b/>
        </w:rPr>
        <w:t xml:space="preserve"> </w:t>
      </w:r>
      <w:r w:rsidRPr="006F5347">
        <w:rPr>
          <w:b/>
        </w:rPr>
        <w:t>4. Sprendimo projekto rengimo metu gauti specialistų vertinimai.</w:t>
      </w:r>
      <w:r>
        <w:t xml:space="preserve"> </w:t>
      </w:r>
    </w:p>
    <w:p w:rsidR="00A81442" w:rsidRDefault="00A81442" w:rsidP="00AE4C24">
      <w:pPr>
        <w:ind w:firstLine="720"/>
        <w:jc w:val="both"/>
        <w:rPr>
          <w:szCs w:val="24"/>
        </w:rPr>
      </w:pPr>
      <w:r>
        <w:t xml:space="preserve"> Sprendimo projektas suderintas su </w:t>
      </w:r>
      <w:r w:rsidRPr="00BC083E">
        <w:rPr>
          <w:szCs w:val="24"/>
        </w:rPr>
        <w:t>Tarptautinių ryšių, verslo plėtros ir turizmo skyri</w:t>
      </w:r>
      <w:r>
        <w:rPr>
          <w:szCs w:val="24"/>
        </w:rPr>
        <w:t xml:space="preserve">aus bei Teisės skyriaus specialistais. Sprendimo projekto priedai (pajamų mokesčio dydžių ir lengvatų sąrašai) parengti pagal VMI rekomenduojamas formas. </w:t>
      </w:r>
    </w:p>
    <w:p w:rsidR="00A81442" w:rsidRDefault="00A81442" w:rsidP="00AE4C24">
      <w:pPr>
        <w:ind w:firstLine="720"/>
        <w:jc w:val="both"/>
        <w:rPr>
          <w:szCs w:val="24"/>
        </w:rPr>
      </w:pPr>
      <w:r>
        <w:rPr>
          <w:szCs w:val="24"/>
        </w:rPr>
        <w:t>Neigiamų specialistų vertinimų negauta.</w:t>
      </w:r>
    </w:p>
    <w:p w:rsidR="00A81442" w:rsidRDefault="00A81442" w:rsidP="00AE4C24">
      <w:pPr>
        <w:ind w:firstLine="720"/>
        <w:jc w:val="both"/>
      </w:pPr>
      <w:r>
        <w:rPr>
          <w:b/>
        </w:rPr>
        <w:t xml:space="preserve"> 5</w:t>
      </w:r>
      <w:r w:rsidRPr="00E153B7">
        <w:rPr>
          <w:b/>
        </w:rPr>
        <w:t>. Išlaidų sąmatos, skaičiavimai, reikalingi pagrindimai ir paaiškinimai</w:t>
      </w:r>
      <w:r>
        <w:t xml:space="preserve">. </w:t>
      </w:r>
    </w:p>
    <w:p w:rsidR="00A81442" w:rsidRPr="00716ACD" w:rsidRDefault="00A81442" w:rsidP="00AE4C24">
      <w:pPr>
        <w:ind w:firstLine="720"/>
        <w:jc w:val="both"/>
      </w:pPr>
      <w:r>
        <w:t xml:space="preserve"> Prognozuojama, kad 2013 metais </w:t>
      </w:r>
      <w:r w:rsidRPr="00D42817">
        <w:rPr>
          <w:color w:val="000000"/>
        </w:rPr>
        <w:t>už išduodamus verslo liudijimus</w:t>
      </w:r>
      <w:r>
        <w:rPr>
          <w:color w:val="000000"/>
        </w:rPr>
        <w:t xml:space="preserve"> Klaipėdos miesto savivaldybėje gali būti surinkta apie 1 mln. Lt gyventojų pajamų mokesčio.</w:t>
      </w:r>
    </w:p>
    <w:p w:rsidR="00A81442" w:rsidRPr="007452E2" w:rsidRDefault="00A81442" w:rsidP="00AE4C24">
      <w:pPr>
        <w:ind w:firstLine="720"/>
        <w:rPr>
          <w:b/>
        </w:rPr>
      </w:pPr>
      <w:r>
        <w:rPr>
          <w:b/>
        </w:rPr>
        <w:t xml:space="preserve"> </w:t>
      </w:r>
      <w:r w:rsidRPr="007452E2">
        <w:rPr>
          <w:b/>
        </w:rPr>
        <w:t xml:space="preserve">6. Lėšų poreikis sprendimo įgyvendinimui. </w:t>
      </w:r>
    </w:p>
    <w:p w:rsidR="00A81442" w:rsidRPr="007452E2" w:rsidRDefault="00A81442" w:rsidP="00AE4C24">
      <w:pPr>
        <w:ind w:firstLine="720"/>
        <w:rPr>
          <w:b/>
        </w:rPr>
      </w:pPr>
      <w:r w:rsidRPr="007452E2">
        <w:t>Sprendimo įgyvendinimui papildomų lėšų poreikio nėra.</w:t>
      </w:r>
    </w:p>
    <w:p w:rsidR="00A81442" w:rsidRPr="007452E2" w:rsidRDefault="00A81442" w:rsidP="00AE4C24">
      <w:pPr>
        <w:ind w:firstLine="720"/>
        <w:jc w:val="both"/>
      </w:pPr>
      <w:r w:rsidRPr="007452E2">
        <w:rPr>
          <w:b/>
        </w:rPr>
        <w:t>7. Galimos teigiamos ar neigiamos sprendimo priėmimo pasekmės.</w:t>
      </w:r>
      <w:r w:rsidRPr="007452E2">
        <w:t xml:space="preserve"> </w:t>
      </w:r>
    </w:p>
    <w:p w:rsidR="00A81442" w:rsidRDefault="00A81442" w:rsidP="00AE4C24">
      <w:pPr>
        <w:ind w:firstLine="720"/>
        <w:jc w:val="both"/>
      </w:pPr>
      <w:r>
        <w:t>Teigiamos pasekmės – 2013 metų mokestiniam laikotarpiui</w:t>
      </w:r>
      <w:r w:rsidRPr="0066136B">
        <w:t xml:space="preserve"> </w:t>
      </w:r>
      <w:r>
        <w:t xml:space="preserve">nustatytas </w:t>
      </w:r>
      <w:r w:rsidRPr="007452E2">
        <w:t>fiksuoto dydžio pajamų mokest</w:t>
      </w:r>
      <w:r>
        <w:t xml:space="preserve">is, kuris bus sumokamas į savivaldybės biudžetą įsigyjant verslo liudijimus, taip pat nustatytos lengvatos socialiai remtinoms asmenų grupėms. </w:t>
      </w:r>
    </w:p>
    <w:p w:rsidR="00A81442" w:rsidRPr="001E34EA" w:rsidRDefault="00A81442" w:rsidP="00AE4C24">
      <w:pPr>
        <w:ind w:firstLine="720"/>
        <w:jc w:val="both"/>
        <w:rPr>
          <w:color w:val="000000"/>
        </w:rPr>
      </w:pPr>
      <w:r>
        <w:t>Neigiamų pasekmių nenustatyta.</w:t>
      </w:r>
    </w:p>
    <w:p w:rsidR="00A81442" w:rsidRDefault="00A81442" w:rsidP="00AE4C24">
      <w:pPr>
        <w:ind w:firstLine="720"/>
        <w:jc w:val="both"/>
        <w:rPr>
          <w:color w:val="000000"/>
        </w:rPr>
      </w:pPr>
      <w:r w:rsidRPr="007452E2">
        <w:rPr>
          <w:b/>
        </w:rPr>
        <w:t>PRIDEDAMA</w:t>
      </w:r>
      <w:r w:rsidRPr="007452E2">
        <w:t xml:space="preserve">: </w:t>
      </w:r>
      <w:r w:rsidRPr="000579EF">
        <w:rPr>
          <w:color w:val="000000"/>
        </w:rPr>
        <w:t xml:space="preserve"> </w:t>
      </w:r>
    </w:p>
    <w:p w:rsidR="00A81442" w:rsidRDefault="00A81442" w:rsidP="00AE4C24">
      <w:pPr>
        <w:ind w:firstLine="720"/>
        <w:jc w:val="both"/>
        <w:rPr>
          <w:color w:val="000000"/>
        </w:rPr>
      </w:pPr>
      <w:r>
        <w:rPr>
          <w:color w:val="000000"/>
        </w:rPr>
        <w:t>1. VMI prie LR finansų ministerijos 2012-07-20 raštas Nr. (18.23-31-1)-R-6360</w:t>
      </w:r>
      <w:r w:rsidRPr="000579EF">
        <w:rPr>
          <w:color w:val="000000"/>
        </w:rPr>
        <w:t>, 1 lapas</w:t>
      </w:r>
      <w:r>
        <w:rPr>
          <w:color w:val="000000"/>
        </w:rPr>
        <w:t>;</w:t>
      </w:r>
    </w:p>
    <w:p w:rsidR="00A81442" w:rsidRDefault="00A81442" w:rsidP="00AE4C24">
      <w:pPr>
        <w:ind w:firstLine="720"/>
        <w:jc w:val="both"/>
      </w:pPr>
      <w:r>
        <w:rPr>
          <w:color w:val="000000"/>
        </w:rPr>
        <w:t xml:space="preserve">2. </w:t>
      </w:r>
      <w:r w:rsidRPr="007452E2">
        <w:t xml:space="preserve">LR </w:t>
      </w:r>
      <w:r>
        <w:t>g</w:t>
      </w:r>
      <w:r w:rsidRPr="007452E2">
        <w:t>yventojų pajamų mokesčio įstatymo</w:t>
      </w:r>
      <w:r>
        <w:t xml:space="preserve"> 6 str. išrašas</w:t>
      </w:r>
      <w:r>
        <w:rPr>
          <w:color w:val="000000"/>
        </w:rPr>
        <w:t>, 2 lapai.</w:t>
      </w:r>
    </w:p>
    <w:p w:rsidR="00A81442" w:rsidRDefault="00A81442" w:rsidP="00AE4C24">
      <w:pPr>
        <w:ind w:firstLine="720"/>
        <w:jc w:val="both"/>
      </w:pPr>
    </w:p>
    <w:p w:rsidR="00A81442" w:rsidRPr="007452E2" w:rsidRDefault="00A81442" w:rsidP="00AE4C24">
      <w:pPr>
        <w:ind w:firstLine="720"/>
        <w:jc w:val="both"/>
      </w:pPr>
    </w:p>
    <w:p w:rsidR="00A81442" w:rsidRPr="007452E2" w:rsidRDefault="00A81442" w:rsidP="00AE4C24">
      <w:pPr>
        <w:jc w:val="both"/>
      </w:pPr>
      <w:r w:rsidRPr="007452E2">
        <w:t>Skyriaus vedėja</w:t>
      </w:r>
      <w:r w:rsidRPr="007452E2">
        <w:tab/>
      </w:r>
      <w:r w:rsidRPr="007452E2">
        <w:tab/>
        <w:t xml:space="preserve">                                          </w:t>
      </w:r>
      <w:r>
        <w:t xml:space="preserve">                </w:t>
      </w:r>
      <w:r w:rsidRPr="007452E2">
        <w:t xml:space="preserve">         Jolanta Uptienė</w:t>
      </w:r>
    </w:p>
    <w:p w:rsidR="00A81442" w:rsidRDefault="00A81442" w:rsidP="00AE4C24"/>
    <w:p w:rsidR="00A81442" w:rsidRDefault="00A81442" w:rsidP="00AE4C24"/>
    <w:p w:rsidR="00A81442" w:rsidRDefault="00A81442" w:rsidP="00AE4C24"/>
    <w:p w:rsidR="00A81442" w:rsidRDefault="00A81442" w:rsidP="00AE4C24"/>
    <w:p w:rsidR="00A81442" w:rsidRDefault="00A81442" w:rsidP="00AE4C24"/>
    <w:p w:rsidR="00A81442" w:rsidRDefault="00A81442" w:rsidP="00AE4C24"/>
    <w:p w:rsidR="00A81442" w:rsidRDefault="00A81442" w:rsidP="00AE4C24"/>
    <w:p w:rsidR="00A81442" w:rsidRDefault="00A81442" w:rsidP="00AE4C24"/>
    <w:p w:rsidR="00A81442" w:rsidRDefault="00A81442" w:rsidP="00AE4C24"/>
    <w:p w:rsidR="00A81442" w:rsidRDefault="00A81442" w:rsidP="00AE4C24"/>
    <w:p w:rsidR="00A81442" w:rsidRDefault="00A81442" w:rsidP="00AE4C24"/>
    <w:p w:rsidR="00A81442" w:rsidRDefault="00A81442" w:rsidP="00AE4C24"/>
    <w:p w:rsidR="00A81442" w:rsidRDefault="00A81442" w:rsidP="00AE4C24"/>
    <w:p w:rsidR="00A81442" w:rsidRDefault="00A81442" w:rsidP="00AE4C24"/>
    <w:p w:rsidR="00A81442" w:rsidRDefault="00A81442" w:rsidP="00AE4C24"/>
    <w:p w:rsidR="00A81442" w:rsidRDefault="00A81442" w:rsidP="00AE4C24"/>
    <w:p w:rsidR="00A81442" w:rsidRDefault="00A81442" w:rsidP="00AE4C24"/>
    <w:p w:rsidR="00A81442" w:rsidRDefault="00A81442" w:rsidP="00AE4C24"/>
    <w:p w:rsidR="00A81442" w:rsidRDefault="00A81442" w:rsidP="00AE4C24"/>
    <w:p w:rsidR="00A81442" w:rsidRDefault="00A81442" w:rsidP="00AE4C24"/>
    <w:p w:rsidR="00A81442" w:rsidRDefault="00A81442" w:rsidP="00AE4C24"/>
    <w:p w:rsidR="00A81442" w:rsidRPr="00336A86" w:rsidRDefault="00A81442" w:rsidP="00AE4C24">
      <w:pPr>
        <w:rPr>
          <w:color w:val="000000"/>
        </w:rPr>
      </w:pPr>
      <w:r>
        <w:t xml:space="preserve">Jolanta Uptienė, </w:t>
      </w:r>
      <w:r w:rsidRPr="007C55E5">
        <w:t>tel.</w:t>
      </w:r>
      <w:r w:rsidRPr="00401869">
        <w:rPr>
          <w:color w:val="FF0000"/>
        </w:rPr>
        <w:t xml:space="preserve"> </w:t>
      </w:r>
      <w:r w:rsidRPr="00336A86">
        <w:rPr>
          <w:color w:val="000000"/>
        </w:rPr>
        <w:t>39 60 13</w:t>
      </w:r>
    </w:p>
    <w:p w:rsidR="00A81442" w:rsidRPr="00CF6C20" w:rsidRDefault="00A81442" w:rsidP="00AE4C24">
      <w:pPr>
        <w:pStyle w:val="BodyText2"/>
        <w:spacing w:after="0" w:line="240" w:lineRule="auto"/>
        <w:rPr>
          <w:szCs w:val="24"/>
        </w:rPr>
      </w:pPr>
      <w:r w:rsidRPr="00CF6C20">
        <w:rPr>
          <w:szCs w:val="24"/>
        </w:rPr>
        <w:t>201</w:t>
      </w:r>
      <w:r>
        <w:rPr>
          <w:szCs w:val="24"/>
        </w:rPr>
        <w:t>2</w:t>
      </w:r>
      <w:r w:rsidRPr="00CF6C20">
        <w:rPr>
          <w:szCs w:val="24"/>
        </w:rPr>
        <w:t>-1</w:t>
      </w:r>
      <w:r>
        <w:rPr>
          <w:szCs w:val="24"/>
        </w:rPr>
        <w:t>0</w:t>
      </w:r>
      <w:r w:rsidRPr="00CF6C20">
        <w:rPr>
          <w:szCs w:val="24"/>
        </w:rPr>
        <w:t>-</w:t>
      </w:r>
      <w:r>
        <w:rPr>
          <w:szCs w:val="24"/>
        </w:rPr>
        <w:t>19</w:t>
      </w:r>
      <w:bookmarkStart w:id="0" w:name="_GoBack"/>
      <w:bookmarkEnd w:id="0"/>
    </w:p>
    <w:p w:rsidR="00A81442" w:rsidRDefault="00A81442" w:rsidP="00AE4C24"/>
    <w:p w:rsidR="00A81442" w:rsidRDefault="00A81442"/>
    <w:sectPr w:rsidR="00A81442" w:rsidSect="002C25DB">
      <w:pgSz w:w="11907" w:h="16840" w:code="9"/>
      <w:pgMar w:top="540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C24"/>
    <w:rsid w:val="000579EF"/>
    <w:rsid w:val="00142436"/>
    <w:rsid w:val="0016378B"/>
    <w:rsid w:val="00187161"/>
    <w:rsid w:val="001D054B"/>
    <w:rsid w:val="001D36D7"/>
    <w:rsid w:val="001E34EA"/>
    <w:rsid w:val="002738E4"/>
    <w:rsid w:val="00276506"/>
    <w:rsid w:val="0029299C"/>
    <w:rsid w:val="002C25DB"/>
    <w:rsid w:val="002E3706"/>
    <w:rsid w:val="00336491"/>
    <w:rsid w:val="00336A86"/>
    <w:rsid w:val="00401869"/>
    <w:rsid w:val="004F167B"/>
    <w:rsid w:val="005A55FC"/>
    <w:rsid w:val="005D3393"/>
    <w:rsid w:val="0066136B"/>
    <w:rsid w:val="006F5347"/>
    <w:rsid w:val="00716ACD"/>
    <w:rsid w:val="007452E2"/>
    <w:rsid w:val="007C55E5"/>
    <w:rsid w:val="0098723A"/>
    <w:rsid w:val="00A81442"/>
    <w:rsid w:val="00AE4C24"/>
    <w:rsid w:val="00BC083E"/>
    <w:rsid w:val="00C56D6F"/>
    <w:rsid w:val="00CF6C20"/>
    <w:rsid w:val="00D1343E"/>
    <w:rsid w:val="00D42817"/>
    <w:rsid w:val="00D701DA"/>
    <w:rsid w:val="00E153B7"/>
    <w:rsid w:val="00F01F72"/>
    <w:rsid w:val="00F04560"/>
    <w:rsid w:val="00F50717"/>
    <w:rsid w:val="00F82C20"/>
    <w:rsid w:val="00FD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24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AE4C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E4C24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E4C2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E4C2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3480</Words>
  <Characters>1984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Jolanta Uptiene</dc:creator>
  <cp:keywords/>
  <dc:description/>
  <cp:lastModifiedBy>V.Palaimiene</cp:lastModifiedBy>
  <cp:revision>2</cp:revision>
  <dcterms:created xsi:type="dcterms:W3CDTF">2012-11-28T07:42:00Z</dcterms:created>
  <dcterms:modified xsi:type="dcterms:W3CDTF">2012-11-28T07:42:00Z</dcterms:modified>
</cp:coreProperties>
</file>