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09" w:rsidRDefault="00155609" w:rsidP="0059521B">
      <w:pPr>
        <w:jc w:val="center"/>
        <w:outlineLvl w:val="0"/>
        <w:rPr>
          <w:b/>
          <w:caps/>
        </w:rPr>
      </w:pPr>
      <w:r>
        <w:rPr>
          <w:b/>
          <w:caps/>
        </w:rPr>
        <w:t>AIŠKINAMASIS RAŠTAS</w:t>
      </w:r>
    </w:p>
    <w:p w:rsidR="00155609" w:rsidRDefault="00155609" w:rsidP="0059521B">
      <w:pPr>
        <w:jc w:val="center"/>
        <w:rPr>
          <w:b/>
          <w:caps/>
        </w:rPr>
      </w:pPr>
      <w:r>
        <w:rPr>
          <w:b/>
          <w:caps/>
        </w:rPr>
        <w:t>PRIE SAVIVALDYBĖS TARYBOS SPRENDIMO „DĖL KLASIŲ ir priešmokyklinio ugdymo grupių SKAIČIAUS bei mokinių skaičiaus vidurkio SAVIVALDYBĖS švietimo įstaigose 2013-2014 MOKSLO METAiS nustatymo “ PROJEKTO</w:t>
      </w:r>
    </w:p>
    <w:p w:rsidR="00155609" w:rsidRDefault="00155609" w:rsidP="0059521B">
      <w:pPr>
        <w:jc w:val="center"/>
        <w:rPr>
          <w:b/>
          <w:caps/>
        </w:rPr>
      </w:pPr>
    </w:p>
    <w:p w:rsidR="00155609" w:rsidRDefault="00155609" w:rsidP="0059521B">
      <w:pPr>
        <w:ind w:firstLine="720"/>
        <w:jc w:val="both"/>
        <w:outlineLvl w:val="0"/>
        <w:rPr>
          <w:b/>
        </w:rPr>
      </w:pPr>
      <w:r>
        <w:rPr>
          <w:b/>
        </w:rPr>
        <w:t>1. Sprendimo projekto esmė, tikslai ir uždaviniai.</w:t>
      </w:r>
    </w:p>
    <w:p w:rsidR="00155609" w:rsidRDefault="00155609" w:rsidP="0059521B">
      <w:pPr>
        <w:ind w:firstLine="720"/>
        <w:jc w:val="both"/>
      </w:pPr>
      <w:r>
        <w:t xml:space="preserve">Sprendimo projekto esmė – kiekvienais mokslo metais teisės aktų nustatyta tvarka turi būti nustatomas komplektuojamų klasių ir priešmokyklinio ugdymo grupių skaičius bei mokinių skaičiaus vidurkis savivaldybės švietimo įstaigose.         </w:t>
      </w:r>
    </w:p>
    <w:p w:rsidR="00155609" w:rsidRDefault="00155609" w:rsidP="0059521B">
      <w:pPr>
        <w:ind w:firstLine="720"/>
        <w:jc w:val="both"/>
      </w:pPr>
      <w:r>
        <w:t>Sprendimo projekto tikslas – atsižvelgiant į įstaigų vadovų pateiktą informaciją ir realią situaciją,</w:t>
      </w:r>
      <w:r>
        <w:rPr>
          <w:color w:val="0000FF"/>
        </w:rPr>
        <w:t xml:space="preserve"> </w:t>
      </w:r>
      <w:r>
        <w:t>nustatyti klasių, priešmokyklinio ugdymo grupių ir mokinių skaičiaus vidurkį klasėse ir grupėse 2013-2014 mokslo metais.</w:t>
      </w:r>
    </w:p>
    <w:p w:rsidR="00155609" w:rsidRDefault="00155609" w:rsidP="0059521B">
      <w:pPr>
        <w:ind w:firstLine="720"/>
        <w:jc w:val="both"/>
      </w:pPr>
      <w:r>
        <w:t>Sprendimo projekto uždavinys – užtikrinti mokyklinio ir priešmokyklinio amžiaus vaikams mokymosi prieinamumą pagal skirtingas programas, sureguliuoti mokinių srautų pasiskirstymą, atsižvelgiant į mokyklos aptarnaujamą mikrorajoną bei mažinti tuščių mokymosi vietų skaičių.</w:t>
      </w:r>
    </w:p>
    <w:p w:rsidR="00155609" w:rsidRDefault="00155609" w:rsidP="0059521B">
      <w:pPr>
        <w:ind w:firstLine="720"/>
        <w:jc w:val="both"/>
        <w:outlineLvl w:val="0"/>
      </w:pPr>
      <w:r>
        <w:rPr>
          <w:b/>
        </w:rPr>
        <w:t>2. Projekto rengimo priežastys ir kuo remiantis parengtas sprendimo projektas.</w:t>
      </w:r>
    </w:p>
    <w:p w:rsidR="00155609" w:rsidRDefault="00155609" w:rsidP="0059521B">
      <w:pPr>
        <w:ind w:firstLine="360"/>
        <w:jc w:val="both"/>
        <w:rPr>
          <w:b/>
        </w:rPr>
      </w:pPr>
      <w:r>
        <w:t xml:space="preserve">      Sprendimo projektas parengtas, vadovaujantis </w:t>
      </w:r>
      <w:r>
        <w:rPr>
          <w:caps/>
        </w:rPr>
        <w:t>p</w:t>
      </w:r>
      <w:r>
        <w:t xml:space="preserve">riėmimo į valstybinę ir savivaldybės bendrojo ugdymo mokyklą, profesinio mokymo įstaigą bendrųjų kriterijų sąrašu, patvirtintu Lietuvos Respublikos švietimo ir mokslo ministro 2004 m. birželio 25 d. įsakymu Nr. ISAK-1019 (Lietuvos Respublikos švietimo ir mokslo ministro </w:t>
      </w:r>
      <w:smartTag w:uri="urn:schemas-microsoft-com:office:smarttags" w:element="metricconverter">
        <w:smartTagPr>
          <w:attr w:name="ProductID" w:val="2011 m"/>
        </w:smartTagPr>
        <w:r>
          <w:t>2011 m</w:t>
        </w:r>
      </w:smartTag>
      <w:r>
        <w:t xml:space="preserve">. liepos 20 d. įsakymo Nr. V-1369 redakcija). Šiuo teisės aktu nurodoma, kad biudžetinių įstaigų savininko teises ir pareigas įgyvendinanti institucija kiekvienais kalendoriniais metais iki kovo 31 d. turi nustatyti savivaldybės švietimo įstaigose preliminarų komplektuojamų klasių, priešmokyklinio ugdymo grupių bei jose ugdomų vaikų skaičiaus vidurkį. Mokinių skaičiaus vidurkis klasėse ir grupėse yra nustatomas pagal Mokinio krepšelio metodiką. </w:t>
      </w:r>
    </w:p>
    <w:p w:rsidR="00155609" w:rsidRDefault="00155609" w:rsidP="0059521B">
      <w:pPr>
        <w:ind w:left="360" w:firstLine="360"/>
        <w:jc w:val="both"/>
        <w:outlineLvl w:val="0"/>
        <w:rPr>
          <w:b/>
          <w:bCs/>
        </w:rPr>
      </w:pPr>
      <w:r>
        <w:rPr>
          <w:b/>
          <w:bCs/>
        </w:rPr>
        <w:t>3. Kokių rezultatų laukiama.</w:t>
      </w:r>
    </w:p>
    <w:p w:rsidR="00155609" w:rsidRDefault="00155609" w:rsidP="0059521B">
      <w:pPr>
        <w:tabs>
          <w:tab w:val="left" w:pos="180"/>
        </w:tabs>
        <w:ind w:firstLine="720"/>
        <w:jc w:val="both"/>
      </w:pPr>
      <w:r>
        <w:t xml:space="preserve">Šiuo sprendimo projektu bus nustatytas klasių bei priešmokyklinio ugdymo grupių ir jose besimokančių mokinių skaičiaus vidurkis. Iš viso numatoma sukomplektuoti 774 klases (buvo - 789), iš jų – 8 (buvo - 10) jaunimo klases 12-17 metų paaugliams Ievos Simonaitytės ir Andrejaus Rubliovo pagrindinėse mokyklose bei 32 klases (buvo - 35) specialiųjų poreikių 7-21 metų turintiems mokiniams 3 specialiosiose mokyklose. </w:t>
      </w:r>
    </w:p>
    <w:p w:rsidR="00155609" w:rsidRDefault="00155609" w:rsidP="0059521B">
      <w:pPr>
        <w:tabs>
          <w:tab w:val="left" w:pos="180"/>
        </w:tabs>
        <w:ind w:firstLine="720"/>
        <w:jc w:val="both"/>
      </w:pPr>
      <w:r>
        <w:t>Vertinant priešmokyklinio ugdymo grupių ir jose besimokančių vaikų skaičių, nustatyta, kad 2013-2014 mokslo metais numatyta sukomplektuoti 91 priešmokyklinio ugdymo grupę (buvo 91 grupė).</w:t>
      </w:r>
    </w:p>
    <w:p w:rsidR="00155609" w:rsidRDefault="00155609" w:rsidP="0059521B">
      <w:pPr>
        <w:tabs>
          <w:tab w:val="left" w:pos="180"/>
        </w:tabs>
        <w:ind w:firstLine="720"/>
        <w:jc w:val="both"/>
      </w:pPr>
      <w:r>
        <w:t>Vadovaujantis minėtu Lietuvos Respublikos švietimo ir mokslo ministro įsakymu, klasių ir grupių skaičius, atsižvelgus į realią komplektavimo situaciją, bus patikslintas iki 2013 metų rugsėjo 1 d.</w:t>
      </w:r>
    </w:p>
    <w:p w:rsidR="00155609" w:rsidRDefault="00155609" w:rsidP="0059521B">
      <w:pPr>
        <w:ind w:left="360" w:firstLine="360"/>
        <w:jc w:val="both"/>
        <w:outlineLvl w:val="0"/>
        <w:rPr>
          <w:b/>
          <w:bCs/>
        </w:rPr>
      </w:pPr>
      <w:r>
        <w:rPr>
          <w:b/>
          <w:bCs/>
        </w:rPr>
        <w:t>4. Sprendimo projekto rengimo metu gauti specialistų vertinimai.</w:t>
      </w:r>
    </w:p>
    <w:p w:rsidR="00155609" w:rsidRDefault="00155609" w:rsidP="0059521B">
      <w:pPr>
        <w:ind w:left="360"/>
        <w:jc w:val="both"/>
      </w:pPr>
      <w:r>
        <w:t xml:space="preserve">      Buvo atsižvelgta į specialistų, dirbančių su duomenų bazėmis, vertinimus.</w:t>
      </w:r>
    </w:p>
    <w:p w:rsidR="00155609" w:rsidRDefault="00155609" w:rsidP="0059521B">
      <w:pPr>
        <w:ind w:left="360" w:firstLine="360"/>
        <w:jc w:val="both"/>
        <w:outlineLvl w:val="0"/>
        <w:rPr>
          <w:b/>
          <w:bCs/>
        </w:rPr>
      </w:pPr>
      <w:r>
        <w:rPr>
          <w:b/>
          <w:bCs/>
        </w:rPr>
        <w:t>5. Išlaidų sąmatos, skaičiavimai, reikalingi pagrindimai ir paaiškinimai.</w:t>
      </w:r>
    </w:p>
    <w:p w:rsidR="00155609" w:rsidRDefault="00155609" w:rsidP="0059521B">
      <w:pPr>
        <w:ind w:left="360"/>
        <w:jc w:val="both"/>
        <w:rPr>
          <w:bCs/>
        </w:rPr>
      </w:pPr>
      <w:r>
        <w:rPr>
          <w:bCs/>
        </w:rPr>
        <w:t xml:space="preserve">      Nėra.</w:t>
      </w:r>
    </w:p>
    <w:p w:rsidR="00155609" w:rsidRDefault="00155609" w:rsidP="0059521B">
      <w:pPr>
        <w:ind w:left="360" w:firstLine="360"/>
        <w:jc w:val="both"/>
        <w:outlineLvl w:val="0"/>
        <w:rPr>
          <w:b/>
          <w:bCs/>
        </w:rPr>
      </w:pPr>
      <w:r>
        <w:rPr>
          <w:b/>
        </w:rPr>
        <w:t>6. Lėšų poreikis sprendimo įgyvendinimui</w:t>
      </w:r>
      <w:r>
        <w:rPr>
          <w:b/>
          <w:bCs/>
        </w:rPr>
        <w:t>.</w:t>
      </w:r>
    </w:p>
    <w:p w:rsidR="00155609" w:rsidRDefault="00155609" w:rsidP="0059521B">
      <w:pPr>
        <w:ind w:left="360"/>
        <w:jc w:val="both"/>
        <w:rPr>
          <w:b/>
          <w:bCs/>
        </w:rPr>
      </w:pPr>
      <w:r>
        <w:rPr>
          <w:bCs/>
        </w:rPr>
        <w:t xml:space="preserve">      Nėra. </w:t>
      </w:r>
    </w:p>
    <w:p w:rsidR="00155609" w:rsidRDefault="00155609" w:rsidP="0059521B">
      <w:pPr>
        <w:ind w:left="360" w:firstLine="360"/>
        <w:jc w:val="both"/>
        <w:outlineLvl w:val="0"/>
        <w:rPr>
          <w:b/>
          <w:bCs/>
        </w:rPr>
      </w:pPr>
      <w:r>
        <w:rPr>
          <w:b/>
          <w:bCs/>
        </w:rPr>
        <w:t>7. Galimos teigiamos ar neigiamos sprendimo priėmimo pasekmės.</w:t>
      </w:r>
    </w:p>
    <w:p w:rsidR="00155609" w:rsidRDefault="00155609" w:rsidP="0059521B">
      <w:pPr>
        <w:jc w:val="both"/>
      </w:pPr>
      <w:r>
        <w:rPr>
          <w:bCs/>
        </w:rPr>
        <w:t xml:space="preserve">            Teigiamos pasekmės: </w:t>
      </w:r>
      <w:r>
        <w:t>bus nustatytas Savivaldybės švietimo įstaigose leidžiamų komplektuoti klasių, priešmokyklinio ugdymo grupių bei jose besimokančių vaikų skaičiaus vidurkis nuo 2013 m. rugsėjo 1 d. Atsižvelgiant į šį sprendimą, bus galima preliminariai nustatyti mokytojams darbo krūvį. Neigiamos pasekmės: gali būti, kad ne visose mokyklose klasės bus sukomplektuotos pagal šiame sprendime nustatytą klasių skaičių, todėl prieš rugsėjo 1 d. gali tekti iškomplektuoti klases, o tai gali sukelti tėvų ir mokytojų nepasitenkinimą.</w:t>
      </w:r>
    </w:p>
    <w:p w:rsidR="00155609" w:rsidRDefault="00155609" w:rsidP="0059521B">
      <w:pPr>
        <w:jc w:val="both"/>
      </w:pPr>
      <w:r>
        <w:t xml:space="preserve"> </w:t>
      </w:r>
    </w:p>
    <w:p w:rsidR="00155609" w:rsidRDefault="00155609" w:rsidP="0059521B">
      <w:pPr>
        <w:ind w:left="360"/>
        <w:jc w:val="both"/>
        <w:rPr>
          <w:b/>
        </w:rPr>
      </w:pPr>
      <w:r>
        <w:t xml:space="preserve">       </w:t>
      </w:r>
      <w:r>
        <w:rPr>
          <w:b/>
        </w:rPr>
        <w:t xml:space="preserve">  PRIDEDAMA: </w:t>
      </w:r>
    </w:p>
    <w:p w:rsidR="00155609" w:rsidRDefault="00155609" w:rsidP="0059521B">
      <w:pPr>
        <w:ind w:firstLine="748"/>
        <w:jc w:val="both"/>
      </w:pPr>
      <w:r>
        <w:t>1. Teisės aktų, nurodytų sprendimo projekto įžangoje, išrašai,</w:t>
      </w:r>
      <w:r>
        <w:rPr>
          <w:b/>
        </w:rPr>
        <w:t xml:space="preserve"> </w:t>
      </w:r>
      <w:r>
        <w:t>2 lapai.</w:t>
      </w:r>
    </w:p>
    <w:p w:rsidR="00155609" w:rsidRDefault="00155609" w:rsidP="0059521B">
      <w:pPr>
        <w:ind w:firstLine="748"/>
        <w:jc w:val="both"/>
      </w:pPr>
    </w:p>
    <w:p w:rsidR="00155609" w:rsidRDefault="00155609" w:rsidP="0059521B">
      <w:pPr>
        <w:ind w:firstLine="748"/>
        <w:jc w:val="both"/>
      </w:pPr>
    </w:p>
    <w:p w:rsidR="00155609" w:rsidRDefault="00155609" w:rsidP="0059521B">
      <w:pPr>
        <w:ind w:left="360"/>
        <w:jc w:val="both"/>
      </w:pPr>
      <w:r>
        <w:t xml:space="preserve">  </w:t>
      </w:r>
      <w:r>
        <w:rPr>
          <w:b/>
        </w:rPr>
        <w:t xml:space="preserve">  </w:t>
      </w:r>
      <w:r>
        <w:t>Švietimo skyriaus vedėja</w:t>
      </w:r>
      <w:r>
        <w:tab/>
        <w:t xml:space="preserve">                                                               Laima Prižgintienė</w:t>
      </w: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p>
    <w:p w:rsidR="00155609" w:rsidRDefault="00155609" w:rsidP="0059521B">
      <w:pPr>
        <w:rPr>
          <w:sz w:val="22"/>
          <w:szCs w:val="22"/>
        </w:rPr>
      </w:pPr>
      <w:bookmarkStart w:id="0" w:name="_GoBack"/>
      <w:bookmarkEnd w:id="0"/>
      <w:r>
        <w:rPr>
          <w:sz w:val="22"/>
          <w:szCs w:val="22"/>
        </w:rPr>
        <w:t xml:space="preserve">Įstatymas skelbtas: Žin., 1994, Nr. </w:t>
      </w:r>
      <w:hyperlink r:id="rId4" w:history="1">
        <w:r>
          <w:rPr>
            <w:rStyle w:val="Hyperlink"/>
            <w:sz w:val="22"/>
            <w:szCs w:val="22"/>
          </w:rPr>
          <w:t>55-1049</w:t>
        </w:r>
      </w:hyperlink>
    </w:p>
    <w:p w:rsidR="00155609" w:rsidRDefault="00155609" w:rsidP="0059521B">
      <w:pPr>
        <w:jc w:val="both"/>
        <w:rPr>
          <w:sz w:val="22"/>
          <w:szCs w:val="22"/>
        </w:rPr>
      </w:pPr>
      <w:r>
        <w:rPr>
          <w:sz w:val="22"/>
          <w:szCs w:val="22"/>
        </w:rPr>
        <w:t>Neoficialus įstatymo tekstas</w:t>
      </w:r>
    </w:p>
    <w:p w:rsidR="00155609" w:rsidRDefault="00155609" w:rsidP="0059521B">
      <w:pPr>
        <w:jc w:val="both"/>
        <w:rPr>
          <w:sz w:val="22"/>
          <w:szCs w:val="22"/>
        </w:rPr>
      </w:pPr>
    </w:p>
    <w:p w:rsidR="00155609" w:rsidRDefault="00155609" w:rsidP="0059521B">
      <w:pPr>
        <w:jc w:val="center"/>
        <w:rPr>
          <w:b/>
          <w:sz w:val="22"/>
          <w:szCs w:val="22"/>
        </w:rPr>
      </w:pPr>
      <w:r>
        <w:rPr>
          <w:b/>
          <w:sz w:val="22"/>
          <w:szCs w:val="22"/>
        </w:rPr>
        <w:t>LIETUVOS RESPUBLIKOS</w:t>
      </w:r>
    </w:p>
    <w:p w:rsidR="00155609" w:rsidRDefault="00155609" w:rsidP="0059521B">
      <w:pPr>
        <w:jc w:val="center"/>
        <w:rPr>
          <w:b/>
          <w:sz w:val="22"/>
          <w:szCs w:val="22"/>
        </w:rPr>
      </w:pPr>
      <w:r>
        <w:rPr>
          <w:b/>
          <w:sz w:val="22"/>
          <w:szCs w:val="22"/>
        </w:rPr>
        <w:t>VIETOS SAVIVALDOS</w:t>
      </w:r>
    </w:p>
    <w:p w:rsidR="00155609" w:rsidRDefault="00155609" w:rsidP="0059521B">
      <w:pPr>
        <w:jc w:val="center"/>
        <w:rPr>
          <w:b/>
          <w:sz w:val="22"/>
          <w:szCs w:val="22"/>
        </w:rPr>
      </w:pPr>
      <w:r>
        <w:rPr>
          <w:b/>
          <w:sz w:val="22"/>
          <w:szCs w:val="22"/>
        </w:rPr>
        <w:t>ĮSTATYMAS</w:t>
      </w:r>
    </w:p>
    <w:p w:rsidR="00155609" w:rsidRDefault="00155609" w:rsidP="0059521B">
      <w:pPr>
        <w:jc w:val="center"/>
        <w:rPr>
          <w:sz w:val="22"/>
          <w:szCs w:val="22"/>
        </w:rPr>
      </w:pPr>
    </w:p>
    <w:p w:rsidR="00155609" w:rsidRDefault="00155609" w:rsidP="0059521B">
      <w:pPr>
        <w:jc w:val="center"/>
        <w:rPr>
          <w:sz w:val="22"/>
          <w:szCs w:val="22"/>
        </w:rPr>
      </w:pPr>
      <w:smartTag w:uri="urn:schemas-microsoft-com:office:smarttags" w:element="metricconverter">
        <w:smartTagPr>
          <w:attr w:name="ProductID" w:val="1994 m"/>
        </w:smartTagPr>
        <w:r>
          <w:rPr>
            <w:sz w:val="22"/>
            <w:szCs w:val="22"/>
          </w:rPr>
          <w:t>1994 m</w:t>
        </w:r>
      </w:smartTag>
      <w:r>
        <w:rPr>
          <w:sz w:val="22"/>
          <w:szCs w:val="22"/>
        </w:rPr>
        <w:t>. liepos 7 d. Nr. I-533</w:t>
      </w:r>
    </w:p>
    <w:p w:rsidR="00155609" w:rsidRDefault="00155609" w:rsidP="0059521B">
      <w:pPr>
        <w:jc w:val="center"/>
        <w:rPr>
          <w:sz w:val="22"/>
          <w:szCs w:val="22"/>
        </w:rPr>
      </w:pPr>
      <w:r>
        <w:rPr>
          <w:sz w:val="22"/>
          <w:szCs w:val="22"/>
        </w:rPr>
        <w:t>Vilnius</w:t>
      </w:r>
    </w:p>
    <w:p w:rsidR="00155609" w:rsidRDefault="00155609" w:rsidP="0059521B">
      <w:pPr>
        <w:jc w:val="both"/>
        <w:rPr>
          <w:sz w:val="22"/>
          <w:szCs w:val="22"/>
        </w:rPr>
      </w:pPr>
    </w:p>
    <w:p w:rsidR="00155609" w:rsidRDefault="00155609" w:rsidP="0059521B">
      <w:pPr>
        <w:jc w:val="both"/>
        <w:rPr>
          <w:b/>
          <w:i/>
          <w:sz w:val="22"/>
          <w:szCs w:val="22"/>
        </w:rPr>
      </w:pPr>
      <w:r>
        <w:rPr>
          <w:b/>
          <w:i/>
          <w:sz w:val="22"/>
          <w:szCs w:val="22"/>
        </w:rPr>
        <w:t xml:space="preserve">Nauja įstatymo redakcija nuo </w:t>
      </w:r>
      <w:smartTag w:uri="urn:schemas-microsoft-com:office:smarttags" w:element="metricconverter">
        <w:smartTagPr>
          <w:attr w:name="ProductID" w:val="2008 m"/>
        </w:smartTagPr>
        <w:r>
          <w:rPr>
            <w:b/>
            <w:i/>
            <w:sz w:val="22"/>
            <w:szCs w:val="22"/>
          </w:rPr>
          <w:t>2008 m</w:t>
        </w:r>
      </w:smartTag>
      <w:r>
        <w:rPr>
          <w:b/>
          <w:i/>
          <w:sz w:val="22"/>
          <w:szCs w:val="22"/>
        </w:rPr>
        <w:t>. spalio 1 d.:</w:t>
      </w:r>
    </w:p>
    <w:p w:rsidR="00155609" w:rsidRDefault="00155609" w:rsidP="0059521B">
      <w:pPr>
        <w:pStyle w:val="PlainText"/>
        <w:rPr>
          <w:rFonts w:ascii="Times New Roman" w:eastAsia="MS Mincho" w:hAnsi="Times New Roman"/>
          <w:i/>
          <w:iCs/>
          <w:sz w:val="22"/>
          <w:szCs w:val="22"/>
        </w:rPr>
      </w:pPr>
      <w:r>
        <w:rPr>
          <w:rFonts w:ascii="Times New Roman" w:eastAsia="MS Mincho" w:hAnsi="Times New Roman"/>
          <w:i/>
          <w:iCs/>
          <w:sz w:val="22"/>
          <w:szCs w:val="22"/>
        </w:rPr>
        <w:t xml:space="preserve">Nr. </w:t>
      </w:r>
      <w:hyperlink r:id="rId5" w:history="1">
        <w:r>
          <w:rPr>
            <w:rStyle w:val="Hyperlink"/>
            <w:rFonts w:ascii="Times New Roman" w:eastAsia="MS Mincho" w:hAnsi="Times New Roman"/>
            <w:i/>
            <w:iCs/>
            <w:sz w:val="22"/>
            <w:szCs w:val="22"/>
          </w:rPr>
          <w:t>X-1722</w:t>
        </w:r>
      </w:hyperlink>
      <w:r>
        <w:rPr>
          <w:rFonts w:ascii="Times New Roman" w:eastAsia="MS Mincho" w:hAnsi="Times New Roman"/>
          <w:i/>
          <w:iCs/>
          <w:sz w:val="22"/>
          <w:szCs w:val="22"/>
        </w:rPr>
        <w:t>, 2008-09-15, Žin., 2008, Nr. 113-4290 (2008-10-01)</w:t>
      </w:r>
    </w:p>
    <w:p w:rsidR="00155609" w:rsidRDefault="00155609" w:rsidP="0059521B">
      <w:pPr>
        <w:ind w:firstLine="720"/>
        <w:jc w:val="both"/>
        <w:rPr>
          <w:sz w:val="22"/>
          <w:szCs w:val="22"/>
        </w:rPr>
      </w:pPr>
    </w:p>
    <w:p w:rsidR="00155609" w:rsidRDefault="00155609" w:rsidP="0059521B">
      <w:pPr>
        <w:ind w:firstLine="720"/>
        <w:jc w:val="both"/>
        <w:rPr>
          <w:b/>
          <w:sz w:val="22"/>
          <w:szCs w:val="22"/>
        </w:rPr>
      </w:pPr>
      <w:bookmarkStart w:id="1" w:name="straipsnis16"/>
      <w:r>
        <w:rPr>
          <w:b/>
          <w:sz w:val="22"/>
          <w:szCs w:val="22"/>
        </w:rPr>
        <w:t> </w:t>
      </w:r>
    </w:p>
    <w:bookmarkEnd w:id="1"/>
    <w:p w:rsidR="00155609" w:rsidRDefault="00155609" w:rsidP="0059521B">
      <w:pPr>
        <w:ind w:firstLine="720"/>
        <w:jc w:val="both"/>
        <w:rPr>
          <w:bCs/>
          <w:sz w:val="22"/>
          <w:szCs w:val="22"/>
        </w:rPr>
      </w:pPr>
      <w:r>
        <w:rPr>
          <w:bCs/>
          <w:sz w:val="22"/>
          <w:szCs w:val="22"/>
        </w:rPr>
        <w:t xml:space="preserve">4. Jeigu teisės aktuose yra nustatyta papildomų įgaliojimų savivaldybei, sprendimų dėl tokių įgaliojimų vykdymo priėmimo iniciatyva, neperžengiant nustatytų įgaliojimų, priklauso savivaldybės tarybai. </w:t>
      </w:r>
    </w:p>
    <w:p w:rsidR="00155609" w:rsidRDefault="00155609" w:rsidP="0059521B">
      <w:pPr>
        <w:ind w:firstLine="720"/>
        <w:jc w:val="both"/>
        <w:rPr>
          <w:bCs/>
          <w:sz w:val="22"/>
          <w:szCs w:val="22"/>
        </w:rPr>
      </w:pPr>
    </w:p>
    <w:p w:rsidR="00155609" w:rsidRDefault="00155609" w:rsidP="0059521B">
      <w:pPr>
        <w:jc w:val="both"/>
        <w:rPr>
          <w:bCs/>
          <w:i/>
          <w:iCs/>
          <w:sz w:val="22"/>
          <w:szCs w:val="22"/>
        </w:rPr>
      </w:pPr>
      <w:r>
        <w:rPr>
          <w:bCs/>
          <w:i/>
          <w:iCs/>
          <w:sz w:val="22"/>
          <w:szCs w:val="22"/>
        </w:rPr>
        <w:t>Straipsnio pakeitimai:</w:t>
      </w:r>
    </w:p>
    <w:p w:rsidR="00155609" w:rsidRDefault="00155609" w:rsidP="0059521B">
      <w:pPr>
        <w:pStyle w:val="PlainText"/>
        <w:jc w:val="both"/>
        <w:rPr>
          <w:rFonts w:ascii="Times New Roman" w:eastAsia="MS Mincho" w:hAnsi="Times New Roman"/>
          <w:bCs/>
          <w:i/>
          <w:iCs/>
          <w:sz w:val="22"/>
          <w:szCs w:val="22"/>
        </w:rPr>
      </w:pPr>
      <w:r>
        <w:rPr>
          <w:rFonts w:ascii="Times New Roman" w:eastAsia="MS Mincho" w:hAnsi="Times New Roman"/>
          <w:bCs/>
          <w:i/>
          <w:iCs/>
          <w:sz w:val="22"/>
          <w:szCs w:val="22"/>
        </w:rPr>
        <w:t xml:space="preserve">Nr. </w:t>
      </w:r>
      <w:hyperlink r:id="rId6" w:history="1">
        <w:r>
          <w:rPr>
            <w:rStyle w:val="Hyperlink"/>
            <w:rFonts w:ascii="Times New Roman" w:eastAsia="MS Mincho" w:hAnsi="Times New Roman"/>
            <w:bCs/>
            <w:i/>
            <w:iCs/>
            <w:sz w:val="22"/>
            <w:szCs w:val="22"/>
          </w:rPr>
          <w:t>X-1830</w:t>
        </w:r>
      </w:hyperlink>
      <w:r>
        <w:rPr>
          <w:rFonts w:ascii="Times New Roman" w:eastAsia="MS Mincho" w:hAnsi="Times New Roman"/>
          <w:bCs/>
          <w:i/>
          <w:iCs/>
          <w:sz w:val="22"/>
          <w:szCs w:val="22"/>
        </w:rPr>
        <w:t>, 2008-11-14, Žin., 2008, Nr. 137-5379 (2008-11-29)</w:t>
      </w:r>
    </w:p>
    <w:p w:rsidR="00155609" w:rsidRDefault="00155609" w:rsidP="0059521B">
      <w:pPr>
        <w:autoSpaceDE w:val="0"/>
        <w:autoSpaceDN w:val="0"/>
        <w:adjustRightInd w:val="0"/>
        <w:rPr>
          <w:i/>
          <w:sz w:val="22"/>
          <w:szCs w:val="22"/>
        </w:rPr>
      </w:pPr>
      <w:r>
        <w:rPr>
          <w:i/>
          <w:sz w:val="22"/>
          <w:szCs w:val="22"/>
        </w:rPr>
        <w:t xml:space="preserve">Nr. </w:t>
      </w:r>
      <w:hyperlink r:id="rId7" w:history="1">
        <w:r>
          <w:rPr>
            <w:rStyle w:val="Hyperlink"/>
            <w:i/>
            <w:sz w:val="22"/>
            <w:szCs w:val="22"/>
          </w:rPr>
          <w:t>XI-300</w:t>
        </w:r>
      </w:hyperlink>
      <w:r>
        <w:rPr>
          <w:i/>
          <w:sz w:val="22"/>
          <w:szCs w:val="22"/>
        </w:rPr>
        <w:t>, 2009-06-16, Žin., 2009, Nr. 77-3165 (2009-06-30)</w:t>
      </w:r>
    </w:p>
    <w:p w:rsidR="00155609" w:rsidRDefault="00155609" w:rsidP="0059521B">
      <w:pPr>
        <w:autoSpaceDE w:val="0"/>
        <w:autoSpaceDN w:val="0"/>
        <w:adjustRightInd w:val="0"/>
        <w:jc w:val="both"/>
        <w:rPr>
          <w:i/>
          <w:sz w:val="22"/>
          <w:szCs w:val="22"/>
        </w:rPr>
      </w:pPr>
      <w:r>
        <w:rPr>
          <w:i/>
          <w:sz w:val="22"/>
          <w:szCs w:val="22"/>
        </w:rPr>
        <w:t xml:space="preserve">Nr. </w:t>
      </w:r>
      <w:hyperlink r:id="rId8" w:history="1">
        <w:r>
          <w:rPr>
            <w:rStyle w:val="Hyperlink"/>
            <w:i/>
            <w:sz w:val="22"/>
            <w:szCs w:val="22"/>
          </w:rPr>
          <w:t>XI-620</w:t>
        </w:r>
      </w:hyperlink>
      <w:r>
        <w:rPr>
          <w:i/>
          <w:sz w:val="22"/>
          <w:szCs w:val="22"/>
        </w:rPr>
        <w:t>, 2009-12-22, Žin., 2009, Nr. 159-7206 (2009-12-31)</w:t>
      </w:r>
    </w:p>
    <w:p w:rsidR="00155609" w:rsidRDefault="00155609" w:rsidP="0059521B">
      <w:pPr>
        <w:autoSpaceDE w:val="0"/>
        <w:autoSpaceDN w:val="0"/>
        <w:adjustRightInd w:val="0"/>
        <w:rPr>
          <w:i/>
          <w:sz w:val="22"/>
          <w:szCs w:val="22"/>
        </w:rPr>
      </w:pPr>
      <w:r>
        <w:rPr>
          <w:i/>
          <w:sz w:val="22"/>
          <w:szCs w:val="22"/>
        </w:rPr>
        <w:t xml:space="preserve">Nr. </w:t>
      </w:r>
      <w:hyperlink r:id="rId9" w:history="1">
        <w:r>
          <w:rPr>
            <w:rStyle w:val="Hyperlink"/>
            <w:i/>
            <w:sz w:val="22"/>
            <w:szCs w:val="22"/>
          </w:rPr>
          <w:t>XI-682</w:t>
        </w:r>
      </w:hyperlink>
      <w:r>
        <w:rPr>
          <w:i/>
          <w:sz w:val="22"/>
          <w:szCs w:val="22"/>
        </w:rPr>
        <w:t>, 2010-02-11, Žin., 2010, Nr. 25-1177 (2010-03-02)</w:t>
      </w:r>
    </w:p>
    <w:p w:rsidR="00155609" w:rsidRDefault="00155609" w:rsidP="0059521B">
      <w:pPr>
        <w:autoSpaceDE w:val="0"/>
        <w:autoSpaceDN w:val="0"/>
        <w:adjustRightInd w:val="0"/>
        <w:rPr>
          <w:i/>
          <w:sz w:val="22"/>
          <w:szCs w:val="22"/>
        </w:rPr>
      </w:pPr>
      <w:r>
        <w:rPr>
          <w:i/>
          <w:sz w:val="22"/>
          <w:szCs w:val="22"/>
        </w:rPr>
        <w:t xml:space="preserve">Nr. </w:t>
      </w:r>
      <w:hyperlink r:id="rId10" w:history="1">
        <w:r>
          <w:rPr>
            <w:rStyle w:val="Hyperlink"/>
            <w:i/>
            <w:sz w:val="22"/>
            <w:szCs w:val="22"/>
          </w:rPr>
          <w:t>XI-770</w:t>
        </w:r>
      </w:hyperlink>
      <w:r>
        <w:rPr>
          <w:i/>
          <w:sz w:val="22"/>
          <w:szCs w:val="22"/>
        </w:rPr>
        <w:t>, 2010-04-20, Žin., 2010, Nr. 51-2480 (2010-05-04)</w:t>
      </w:r>
    </w:p>
    <w:p w:rsidR="00155609" w:rsidRDefault="00155609" w:rsidP="0059521B">
      <w:pPr>
        <w:autoSpaceDE w:val="0"/>
        <w:autoSpaceDN w:val="0"/>
        <w:adjustRightInd w:val="0"/>
        <w:rPr>
          <w:i/>
          <w:sz w:val="22"/>
          <w:szCs w:val="22"/>
        </w:rPr>
      </w:pPr>
      <w:r>
        <w:rPr>
          <w:i/>
          <w:sz w:val="22"/>
          <w:szCs w:val="22"/>
        </w:rPr>
        <w:t>Nr. XI-971, 2010-06-30, Žin., 2010, Nr. 86-4525 (2010-07-20)</w:t>
      </w:r>
    </w:p>
    <w:p w:rsidR="00155609" w:rsidRDefault="00155609" w:rsidP="0059521B">
      <w:pPr>
        <w:ind w:firstLine="720"/>
        <w:jc w:val="both"/>
        <w:rPr>
          <w:b/>
          <w:sz w:val="22"/>
          <w:szCs w:val="22"/>
        </w:rPr>
      </w:pPr>
    </w:p>
    <w:p w:rsidR="00155609" w:rsidRDefault="00155609" w:rsidP="0059521B">
      <w:pPr>
        <w:rPr>
          <w:rFonts w:ascii="TimesNewRomanPSMT" w:eastAsia="TimesNewRomanPSMT" w:cs="TimesNewRomanPSMT"/>
          <w:sz w:val="22"/>
          <w:szCs w:val="22"/>
        </w:rPr>
      </w:pPr>
      <w:r>
        <w:rPr>
          <w:sz w:val="22"/>
          <w:szCs w:val="22"/>
        </w:rPr>
        <w:t xml:space="preserve">Įstatymas skelbtas: Žin., 1991, Nr. </w:t>
      </w:r>
      <w:hyperlink r:id="rId11" w:history="1">
        <w:r>
          <w:rPr>
            <w:rStyle w:val="Hyperlink"/>
            <w:sz w:val="22"/>
            <w:szCs w:val="22"/>
          </w:rPr>
          <w:t>23-593</w:t>
        </w:r>
      </w:hyperlink>
      <w:r>
        <w:rPr>
          <w:rFonts w:ascii="TimesNewRomanPSMT" w:eastAsia="TimesNewRomanPSMT" w:cs="TimesNewRomanPSMT"/>
          <w:sz w:val="22"/>
          <w:szCs w:val="22"/>
        </w:rPr>
        <w:t xml:space="preserve">                                                                  </w:t>
      </w:r>
    </w:p>
    <w:p w:rsidR="00155609" w:rsidRDefault="00155609" w:rsidP="0059521B">
      <w:pPr>
        <w:autoSpaceDE w:val="0"/>
        <w:autoSpaceDN w:val="0"/>
        <w:adjustRightInd w:val="0"/>
        <w:rPr>
          <w:rFonts w:ascii="TimesNewRomanPSMT" w:eastAsia="TimesNewRomanPSMT" w:cs="TimesNewRomanPSMT"/>
          <w:sz w:val="22"/>
          <w:szCs w:val="22"/>
        </w:rPr>
      </w:pPr>
      <w:r>
        <w:rPr>
          <w:rFonts w:ascii="TimesNewRomanPSMT" w:eastAsia="TimesNewRomanPSMT" w:cs="TimesNewRomanPSMT"/>
          <w:sz w:val="22"/>
          <w:szCs w:val="22"/>
        </w:rPr>
        <w:t xml:space="preserve">          </w:t>
      </w:r>
    </w:p>
    <w:p w:rsidR="00155609" w:rsidRDefault="00155609" w:rsidP="0059521B">
      <w:pPr>
        <w:pStyle w:val="ISTATYMAS"/>
        <w:rPr>
          <w:sz w:val="22"/>
          <w:szCs w:val="22"/>
        </w:rPr>
      </w:pPr>
      <w:bookmarkStart w:id="2" w:name="organizacija"/>
      <w:bookmarkEnd w:id="2"/>
      <w:r>
        <w:rPr>
          <w:rFonts w:ascii="TimesNewRomanPSMT" w:eastAsia="TimesNewRomanPSMT" w:cs="TimesNewRomanPSMT"/>
          <w:sz w:val="22"/>
          <w:szCs w:val="22"/>
        </w:rPr>
        <w:t xml:space="preserve">     </w:t>
      </w:r>
      <w:r>
        <w:rPr>
          <w:sz w:val="22"/>
          <w:szCs w:val="22"/>
        </w:rPr>
        <w:t>LIETUVOS RESPUBLIKOS ŠVIETIMO IR MOKSLO MINISTRO</w:t>
      </w:r>
    </w:p>
    <w:p w:rsidR="00155609" w:rsidRDefault="00155609" w:rsidP="0059521B">
      <w:pPr>
        <w:pStyle w:val="ISTATYMAS"/>
        <w:rPr>
          <w:sz w:val="22"/>
          <w:szCs w:val="22"/>
        </w:rPr>
      </w:pPr>
      <w:r>
        <w:rPr>
          <w:sz w:val="22"/>
          <w:szCs w:val="22"/>
        </w:rPr>
        <w:t>Į S A K Y M A S</w:t>
      </w:r>
    </w:p>
    <w:p w:rsidR="00155609" w:rsidRDefault="00155609" w:rsidP="0059521B">
      <w:pPr>
        <w:pStyle w:val="ISTATYMAS"/>
        <w:rPr>
          <w:sz w:val="22"/>
          <w:szCs w:val="22"/>
        </w:rPr>
      </w:pPr>
    </w:p>
    <w:p w:rsidR="00155609" w:rsidRDefault="00155609" w:rsidP="0059521B">
      <w:pPr>
        <w:pStyle w:val="Pavadinimas1"/>
        <w:jc w:val="center"/>
      </w:pPr>
      <w:r>
        <w:t xml:space="preserve">DĖL ŠVIETIMO IR MOKSLO MINISTRO </w:t>
      </w:r>
      <w:smartTag w:uri="urn:schemas-microsoft-com:office:smarttags" w:element="metricconverter">
        <w:smartTagPr>
          <w:attr w:name="ProductID" w:val="2004 m"/>
        </w:smartTagPr>
        <w:r>
          <w:t>2004 M</w:t>
        </w:r>
      </w:smartTag>
      <w:r>
        <w:t xml:space="preserve">. BIRŽELIO 25 D. ĮSAKYMO </w:t>
      </w:r>
      <w:r>
        <w:br/>
        <w:t>NR. ISAK-1019 „DĖL PRIĖMIMO Į VALSTYBINĘ IR SAVIVALDYBĖS BENDROJO LAVINIMO, PROFESINIO MOKYMO ĮSTAIGĄ BENDRŲJŲ KRITERIJŲ SĄRAŠO PATVIRTINIMO“ PAKEITIMO</w:t>
      </w:r>
    </w:p>
    <w:p w:rsidR="00155609" w:rsidRDefault="00155609" w:rsidP="0059521B">
      <w:pPr>
        <w:pStyle w:val="Pagrindinistekstas1"/>
        <w:jc w:val="center"/>
        <w:rPr>
          <w:sz w:val="22"/>
          <w:szCs w:val="22"/>
        </w:rPr>
      </w:pPr>
    </w:p>
    <w:p w:rsidR="00155609" w:rsidRDefault="00155609" w:rsidP="0059521B">
      <w:pPr>
        <w:pStyle w:val="ISTATYMAS"/>
        <w:rPr>
          <w:sz w:val="22"/>
          <w:szCs w:val="22"/>
        </w:rPr>
      </w:pPr>
      <w:smartTag w:uri="urn:schemas-microsoft-com:office:smarttags" w:element="metricconverter">
        <w:smartTagPr>
          <w:attr w:name="ProductID" w:val="2011 m"/>
        </w:smartTagPr>
        <w:r>
          <w:rPr>
            <w:sz w:val="22"/>
            <w:szCs w:val="22"/>
          </w:rPr>
          <w:t>2011 m</w:t>
        </w:r>
      </w:smartTag>
      <w:r>
        <w:rPr>
          <w:sz w:val="22"/>
          <w:szCs w:val="22"/>
        </w:rPr>
        <w:t>. liepos 20 d. Nr. V-1369</w:t>
      </w:r>
    </w:p>
    <w:p w:rsidR="00155609" w:rsidRDefault="00155609" w:rsidP="0059521B">
      <w:pPr>
        <w:pStyle w:val="ISTATYMAS"/>
        <w:rPr>
          <w:sz w:val="22"/>
          <w:szCs w:val="22"/>
        </w:rPr>
      </w:pPr>
      <w:r>
        <w:rPr>
          <w:sz w:val="22"/>
          <w:szCs w:val="22"/>
        </w:rPr>
        <w:t>Vilnius</w:t>
      </w:r>
    </w:p>
    <w:p w:rsidR="00155609" w:rsidRDefault="00155609" w:rsidP="0059521B">
      <w:pPr>
        <w:pStyle w:val="Pagrindinistekstas1"/>
        <w:rPr>
          <w:sz w:val="22"/>
          <w:szCs w:val="22"/>
        </w:rPr>
      </w:pPr>
    </w:p>
    <w:p w:rsidR="00155609" w:rsidRDefault="00155609" w:rsidP="0059521B">
      <w:pPr>
        <w:pStyle w:val="Pagrindinistekstas1"/>
        <w:rPr>
          <w:sz w:val="22"/>
          <w:szCs w:val="22"/>
        </w:rPr>
      </w:pPr>
      <w:r>
        <w:rPr>
          <w:sz w:val="22"/>
          <w:szCs w:val="22"/>
        </w:rPr>
        <w:t xml:space="preserve">1. P a k e i č i u Lietuvos Respublikos švietimo ir mokslo ministro </w:t>
      </w:r>
      <w:smartTag w:uri="urn:schemas-microsoft-com:office:smarttags" w:element="metricconverter">
        <w:smartTagPr>
          <w:attr w:name="ProductID" w:val="2004 m"/>
        </w:smartTagPr>
        <w:r>
          <w:rPr>
            <w:sz w:val="22"/>
            <w:szCs w:val="22"/>
          </w:rPr>
          <w:t>2004 m</w:t>
        </w:r>
      </w:smartTag>
      <w:r>
        <w:rPr>
          <w:sz w:val="22"/>
          <w:szCs w:val="22"/>
        </w:rPr>
        <w:t xml:space="preserve">. birželio 25 d. įsakymą Nr. ISAK-1019 „Dėl Priėmimo į valstybinę ir savivaldybės bendrojo lavinimo, profesinio mokymo įstaigą bendrųjų kriterijų sąrašo patvirtinimo“ (Žin., 2004, Nr. </w:t>
      </w:r>
      <w:hyperlink r:id="rId12" w:history="1">
        <w:r>
          <w:rPr>
            <w:rStyle w:val="Hyperlink"/>
            <w:sz w:val="22"/>
            <w:szCs w:val="22"/>
          </w:rPr>
          <w:t>103-3809</w:t>
        </w:r>
      </w:hyperlink>
      <w:r>
        <w:rPr>
          <w:sz w:val="22"/>
          <w:szCs w:val="22"/>
        </w:rPr>
        <w:t xml:space="preserve">; 2011, Nr. </w:t>
      </w:r>
      <w:hyperlink r:id="rId13" w:history="1">
        <w:r>
          <w:rPr>
            <w:rStyle w:val="Hyperlink"/>
            <w:sz w:val="22"/>
            <w:szCs w:val="22"/>
          </w:rPr>
          <w:t>33-1566</w:t>
        </w:r>
      </w:hyperlink>
      <w:r>
        <w:rPr>
          <w:sz w:val="22"/>
          <w:szCs w:val="22"/>
        </w:rPr>
        <w:t>) ir išdėstau jį nauja redakcija:</w:t>
      </w:r>
    </w:p>
    <w:p w:rsidR="00155609" w:rsidRDefault="00155609" w:rsidP="0059521B">
      <w:pPr>
        <w:pStyle w:val="CentrBold"/>
        <w:rPr>
          <w:b w:val="0"/>
          <w:bCs w:val="0"/>
          <w:sz w:val="22"/>
          <w:szCs w:val="22"/>
        </w:rPr>
      </w:pPr>
    </w:p>
    <w:p w:rsidR="00155609" w:rsidRDefault="00155609" w:rsidP="0059521B">
      <w:pPr>
        <w:pStyle w:val="CentrBold"/>
        <w:rPr>
          <w:sz w:val="22"/>
          <w:szCs w:val="22"/>
        </w:rPr>
      </w:pPr>
      <w:r>
        <w:rPr>
          <w:b w:val="0"/>
          <w:bCs w:val="0"/>
          <w:sz w:val="22"/>
          <w:szCs w:val="22"/>
        </w:rPr>
        <w:t>„</w:t>
      </w:r>
      <w:r>
        <w:rPr>
          <w:sz w:val="22"/>
          <w:szCs w:val="22"/>
        </w:rPr>
        <w:t>LIETUVOS RESPUBLIKOS ŠVIETIMO IR MOKSLO</w:t>
      </w:r>
    </w:p>
    <w:p w:rsidR="00155609" w:rsidRDefault="00155609" w:rsidP="0059521B">
      <w:pPr>
        <w:pStyle w:val="CentrBold"/>
        <w:rPr>
          <w:sz w:val="22"/>
          <w:szCs w:val="22"/>
        </w:rPr>
      </w:pPr>
      <w:r>
        <w:rPr>
          <w:sz w:val="22"/>
          <w:szCs w:val="22"/>
        </w:rPr>
        <w:t>MINISTRAS</w:t>
      </w:r>
    </w:p>
    <w:p w:rsidR="00155609" w:rsidRDefault="00155609" w:rsidP="0059521B">
      <w:pPr>
        <w:pStyle w:val="CentrBold"/>
        <w:rPr>
          <w:sz w:val="22"/>
          <w:szCs w:val="22"/>
        </w:rPr>
      </w:pPr>
    </w:p>
    <w:p w:rsidR="00155609" w:rsidRDefault="00155609" w:rsidP="0059521B">
      <w:pPr>
        <w:pStyle w:val="CentrBold"/>
        <w:rPr>
          <w:sz w:val="22"/>
          <w:szCs w:val="22"/>
        </w:rPr>
      </w:pPr>
      <w:r>
        <w:rPr>
          <w:sz w:val="22"/>
          <w:szCs w:val="22"/>
        </w:rPr>
        <w:t>ĮSAKYMAS</w:t>
      </w:r>
    </w:p>
    <w:p w:rsidR="00155609" w:rsidRDefault="00155609" w:rsidP="0059521B">
      <w:pPr>
        <w:pStyle w:val="CentrBold"/>
        <w:rPr>
          <w:sz w:val="22"/>
          <w:szCs w:val="22"/>
        </w:rPr>
      </w:pPr>
      <w:r>
        <w:rPr>
          <w:sz w:val="22"/>
          <w:szCs w:val="22"/>
        </w:rPr>
        <w:t>DĖL PRIĖMIMO Į VALSTYBINĘ IR SAVIVALDYBĖS BENDROJO UGDYMO MOKYKLĄ, PROFESINIO MOKYMO ĮSTAIGĄ BENDRŲJŲ KRITERIJŲ SĄRAŠO PATVIRTINIMO</w:t>
      </w:r>
    </w:p>
    <w:p w:rsidR="00155609" w:rsidRDefault="00155609" w:rsidP="0059521B">
      <w:pPr>
        <w:pStyle w:val="CentrBold"/>
        <w:jc w:val="left"/>
        <w:rPr>
          <w:b w:val="0"/>
          <w:sz w:val="22"/>
          <w:szCs w:val="22"/>
        </w:rPr>
      </w:pPr>
      <w:r>
        <w:rPr>
          <w:sz w:val="22"/>
          <w:szCs w:val="22"/>
        </w:rPr>
        <w:br/>
      </w:r>
      <w:r>
        <w:rPr>
          <w:b w:val="0"/>
          <w:caps w:val="0"/>
          <w:sz w:val="22"/>
          <w:szCs w:val="22"/>
        </w:rPr>
        <w:t xml:space="preserve">Vadovaudamasis lietuvos respublikos švietimo įstatymo (žin., 1991, nr. </w:t>
      </w:r>
      <w:hyperlink r:id="rId14" w:history="1">
        <w:r>
          <w:rPr>
            <w:rStyle w:val="Hyperlink"/>
            <w:b w:val="0"/>
            <w:caps w:val="0"/>
            <w:sz w:val="22"/>
            <w:szCs w:val="22"/>
          </w:rPr>
          <w:t>23-593</w:t>
        </w:r>
      </w:hyperlink>
      <w:r>
        <w:rPr>
          <w:b w:val="0"/>
          <w:caps w:val="0"/>
          <w:sz w:val="22"/>
          <w:szCs w:val="22"/>
        </w:rPr>
        <w:t xml:space="preserve">; 2011, nr. </w:t>
      </w:r>
      <w:hyperlink r:id="rId15" w:history="1">
        <w:r>
          <w:rPr>
            <w:rStyle w:val="Hyperlink"/>
            <w:b w:val="0"/>
            <w:caps w:val="0"/>
            <w:sz w:val="22"/>
            <w:szCs w:val="22"/>
          </w:rPr>
          <w:t>38-1804</w:t>
        </w:r>
      </w:hyperlink>
      <w:r>
        <w:rPr>
          <w:b w:val="0"/>
          <w:caps w:val="0"/>
          <w:sz w:val="22"/>
          <w:szCs w:val="22"/>
        </w:rPr>
        <w:t xml:space="preserve">) 29 straipsnio 2 dalimi ir lietuvos respublikos profesinio mokymo įstatymo (žin., 1997, nr. </w:t>
      </w:r>
      <w:hyperlink r:id="rId16" w:history="1">
        <w:r>
          <w:rPr>
            <w:rStyle w:val="Hyperlink"/>
            <w:b w:val="0"/>
            <w:caps w:val="0"/>
            <w:sz w:val="22"/>
            <w:szCs w:val="22"/>
          </w:rPr>
          <w:t>98-2478</w:t>
        </w:r>
      </w:hyperlink>
      <w:r>
        <w:rPr>
          <w:b w:val="0"/>
          <w:caps w:val="0"/>
          <w:sz w:val="22"/>
          <w:szCs w:val="22"/>
        </w:rPr>
        <w:t xml:space="preserve">; 2007, nr. </w:t>
      </w:r>
      <w:hyperlink r:id="rId17" w:history="1">
        <w:r>
          <w:rPr>
            <w:rStyle w:val="Hyperlink"/>
            <w:b w:val="0"/>
            <w:caps w:val="0"/>
            <w:sz w:val="22"/>
            <w:szCs w:val="22"/>
          </w:rPr>
          <w:t>43-1627</w:t>
        </w:r>
      </w:hyperlink>
      <w:r>
        <w:rPr>
          <w:b w:val="0"/>
          <w:caps w:val="0"/>
          <w:sz w:val="22"/>
          <w:szCs w:val="22"/>
        </w:rPr>
        <w:t xml:space="preserve">; 2010, nr. </w:t>
      </w:r>
      <w:hyperlink r:id="rId18" w:history="1">
        <w:r>
          <w:rPr>
            <w:rStyle w:val="Hyperlink"/>
            <w:b w:val="0"/>
            <w:caps w:val="0"/>
            <w:sz w:val="22"/>
            <w:szCs w:val="22"/>
          </w:rPr>
          <w:t>67-3338</w:t>
        </w:r>
      </w:hyperlink>
      <w:r>
        <w:rPr>
          <w:b w:val="0"/>
          <w:caps w:val="0"/>
          <w:sz w:val="22"/>
          <w:szCs w:val="22"/>
        </w:rPr>
        <w:t>) 22 straipsnio 1 dalies 6 punktu:</w:t>
      </w:r>
    </w:p>
    <w:p w:rsidR="00155609" w:rsidRDefault="00155609" w:rsidP="0059521B">
      <w:pPr>
        <w:pStyle w:val="Pagrindinistekstas1"/>
        <w:rPr>
          <w:sz w:val="22"/>
          <w:szCs w:val="22"/>
        </w:rPr>
      </w:pPr>
      <w:r>
        <w:rPr>
          <w:sz w:val="22"/>
          <w:szCs w:val="22"/>
        </w:rPr>
        <w:t>T v i r t i n u Priėmimo į valstybinę ir savivaldybės bendrojo ugdymo mokyklą, profesinio mokymo įstaigą bendrųjų kriterijų sąrašą (pridedama).“</w:t>
      </w:r>
    </w:p>
    <w:p w:rsidR="00155609" w:rsidRDefault="00155609" w:rsidP="0059521B">
      <w:pPr>
        <w:pStyle w:val="Pagrindinistekstas1"/>
        <w:rPr>
          <w:sz w:val="22"/>
          <w:szCs w:val="22"/>
        </w:rPr>
      </w:pPr>
      <w:r>
        <w:rPr>
          <w:sz w:val="22"/>
          <w:szCs w:val="22"/>
        </w:rPr>
        <w:t>2. N u s t a t a u, kad:</w:t>
      </w:r>
    </w:p>
    <w:p w:rsidR="00155609" w:rsidRDefault="00155609" w:rsidP="0059521B">
      <w:pPr>
        <w:pStyle w:val="Pagrindinistekstas1"/>
        <w:rPr>
          <w:sz w:val="22"/>
          <w:szCs w:val="22"/>
        </w:rPr>
      </w:pPr>
      <w:r>
        <w:rPr>
          <w:sz w:val="22"/>
          <w:szCs w:val="22"/>
        </w:rPr>
        <w:t>2.1. 2011 metais valstybinių ir savivaldybių mokyklų savininko teises ir pareigas įgyvendinančios institucijos, dalyvių susirinkimai (savininkai) iki spalio 1 d. patikslina: bendrojo ugdymo mokykloms (jų skyriams, filialams) – klasių komplektų ir priešmokyklinio ugdymo grupių skaičių pagal vykdomas programas; profesinio mokymo įstaigos į pirmą kursą priimamų mokinių skaičių pagal vykdomas profesinio mokymo programas ir pagal profesinio mokymo programas bei bendrojo ugdymo programas;</w:t>
      </w:r>
    </w:p>
    <w:p w:rsidR="00155609" w:rsidRDefault="00155609" w:rsidP="0059521B">
      <w:pPr>
        <w:pStyle w:val="Pagrindinistekstas1"/>
        <w:rPr>
          <w:sz w:val="22"/>
          <w:szCs w:val="22"/>
        </w:rPr>
      </w:pPr>
      <w:r>
        <w:rPr>
          <w:sz w:val="22"/>
          <w:szCs w:val="22"/>
        </w:rPr>
        <w:t xml:space="preserve">2.2. mokinių, priimtų iki šio sąrašo galiojusia tvarka į specialiąsias mokyklas, skirtas judesio ir padėties sutrikimų, regos sutrikimų, klausos sutrikimų, elgesio ir emocijų sutrikimų ar sveikatos problemų turintiems mokiniams, įsigaliojus įsakymui specialieji ugdymosi poreikiai turi būti įvertinti iki </w:t>
      </w:r>
      <w:smartTag w:uri="urn:schemas-microsoft-com:office:smarttags" w:element="metricconverter">
        <w:smartTagPr>
          <w:attr w:name="ProductID" w:val="2012 m"/>
        </w:smartTagPr>
        <w:r>
          <w:rPr>
            <w:sz w:val="22"/>
            <w:szCs w:val="22"/>
          </w:rPr>
          <w:t>2012 m</w:t>
        </w:r>
      </w:smartTag>
      <w:r>
        <w:rPr>
          <w:sz w:val="22"/>
          <w:szCs w:val="22"/>
        </w:rPr>
        <w:t>. gegužės 1 dienos.</w:t>
      </w:r>
    </w:p>
    <w:p w:rsidR="00155609" w:rsidRDefault="00155609" w:rsidP="0059521B">
      <w:pPr>
        <w:pStyle w:val="Pagrindinistekstas1"/>
        <w:rPr>
          <w:sz w:val="22"/>
          <w:szCs w:val="22"/>
        </w:rPr>
      </w:pPr>
      <w:r>
        <w:rPr>
          <w:sz w:val="22"/>
          <w:szCs w:val="22"/>
        </w:rPr>
        <w:t>3. P r i p a ž į s t u netekusiais galios:</w:t>
      </w:r>
    </w:p>
    <w:p w:rsidR="00155609" w:rsidRDefault="00155609" w:rsidP="0059521B">
      <w:pPr>
        <w:pStyle w:val="Pagrindinistekstas1"/>
        <w:rPr>
          <w:sz w:val="22"/>
          <w:szCs w:val="22"/>
        </w:rPr>
      </w:pPr>
      <w:r>
        <w:rPr>
          <w:sz w:val="22"/>
          <w:szCs w:val="22"/>
        </w:rPr>
        <w:t xml:space="preserve">3.1. Lietuvos Respublikos švietimo ir mokslo ministro </w:t>
      </w:r>
      <w:smartTag w:uri="urn:schemas-microsoft-com:office:smarttags" w:element="metricconverter">
        <w:smartTagPr>
          <w:attr w:name="ProductID" w:val="2000 m"/>
        </w:smartTagPr>
        <w:r>
          <w:rPr>
            <w:sz w:val="22"/>
            <w:szCs w:val="22"/>
          </w:rPr>
          <w:t>2000 m</w:t>
        </w:r>
      </w:smartTag>
      <w:r>
        <w:rPr>
          <w:sz w:val="22"/>
          <w:szCs w:val="22"/>
        </w:rPr>
        <w:t xml:space="preserve">. vasario 22 d. įsakymą Nr. 158 „Dėl Specialiųjų poreikių asmenų priėmimo į specialiojo ugdymo įstaigą tvarkos“ (Žin., 2000, Nr. </w:t>
      </w:r>
      <w:hyperlink r:id="rId19" w:history="1">
        <w:r>
          <w:rPr>
            <w:rStyle w:val="Hyperlink"/>
            <w:sz w:val="22"/>
            <w:szCs w:val="22"/>
          </w:rPr>
          <w:t>17-421</w:t>
        </w:r>
      </w:hyperlink>
      <w:r>
        <w:rPr>
          <w:sz w:val="22"/>
          <w:szCs w:val="22"/>
        </w:rPr>
        <w:t>);</w:t>
      </w:r>
    </w:p>
    <w:p w:rsidR="00155609" w:rsidRDefault="00155609" w:rsidP="0059521B">
      <w:pPr>
        <w:pStyle w:val="Pagrindinistekstas1"/>
        <w:rPr>
          <w:sz w:val="22"/>
          <w:szCs w:val="22"/>
        </w:rPr>
      </w:pPr>
      <w:r>
        <w:rPr>
          <w:sz w:val="22"/>
          <w:szCs w:val="22"/>
        </w:rPr>
        <w:t xml:space="preserve">3.2. Lietuvos Respublikos švietimo ir mokslo ministro 2000 m. balandžio 17 d. įsakymą Nr. 429 „Dėl Lietuvos Respublikos švietimo ir mokslo ministro 2000 m. vasario 22 d. įsakymo Nr. 158 „Dėl specialiųjų poreikių asmenų priėmimo į specialiojo ugdymo įstaigą“ dalinio pakeitimo“ (Žin., 2000, Nr. </w:t>
      </w:r>
      <w:hyperlink r:id="rId20" w:history="1">
        <w:r>
          <w:rPr>
            <w:rStyle w:val="Hyperlink"/>
            <w:sz w:val="22"/>
            <w:szCs w:val="22"/>
          </w:rPr>
          <w:t>33-940</w:t>
        </w:r>
      </w:hyperlink>
      <w:r>
        <w:rPr>
          <w:sz w:val="22"/>
          <w:szCs w:val="22"/>
        </w:rPr>
        <w:t>).</w:t>
      </w:r>
    </w:p>
    <w:p w:rsidR="00155609" w:rsidRDefault="00155609" w:rsidP="0059521B">
      <w:pPr>
        <w:pStyle w:val="Pagrindinistekstas1"/>
        <w:rPr>
          <w:sz w:val="22"/>
          <w:szCs w:val="22"/>
        </w:rPr>
      </w:pPr>
    </w:p>
    <w:p w:rsidR="00155609" w:rsidRDefault="00155609" w:rsidP="0059521B">
      <w:pPr>
        <w:pStyle w:val="Prezidentas"/>
        <w:rPr>
          <w:sz w:val="22"/>
          <w:szCs w:val="22"/>
        </w:rPr>
      </w:pPr>
      <w:r>
        <w:rPr>
          <w:sz w:val="22"/>
          <w:szCs w:val="22"/>
        </w:rPr>
        <w:t>Švietimo ir mokslo ministras</w:t>
      </w:r>
      <w:r>
        <w:rPr>
          <w:sz w:val="22"/>
          <w:szCs w:val="22"/>
        </w:rPr>
        <w:tab/>
        <w:t>Gintaras Steponavičius</w:t>
      </w:r>
    </w:p>
    <w:p w:rsidR="00155609" w:rsidRDefault="00155609" w:rsidP="0059521B">
      <w:pPr>
        <w:pStyle w:val="Prezidentas"/>
        <w:rPr>
          <w:sz w:val="22"/>
          <w:szCs w:val="22"/>
        </w:rPr>
      </w:pPr>
    </w:p>
    <w:p w:rsidR="00155609" w:rsidRDefault="00155609" w:rsidP="0059521B">
      <w:pPr>
        <w:pStyle w:val="ISTATYMAS"/>
        <w:spacing w:line="278" w:lineRule="auto"/>
        <w:rPr>
          <w:sz w:val="22"/>
          <w:szCs w:val="22"/>
        </w:rPr>
      </w:pPr>
      <w:r>
        <w:rPr>
          <w:sz w:val="22"/>
          <w:szCs w:val="22"/>
        </w:rPr>
        <w:t>LIETUVOS RESPUBLIKOS ŠVIETIMO IR MOKSLO MINISTRO</w:t>
      </w:r>
    </w:p>
    <w:p w:rsidR="00155609" w:rsidRDefault="00155609" w:rsidP="0059521B">
      <w:pPr>
        <w:pStyle w:val="ISTATYMAS"/>
        <w:spacing w:line="278" w:lineRule="auto"/>
        <w:rPr>
          <w:sz w:val="22"/>
          <w:szCs w:val="22"/>
        </w:rPr>
      </w:pPr>
      <w:r>
        <w:rPr>
          <w:sz w:val="22"/>
          <w:szCs w:val="22"/>
        </w:rPr>
        <w:t>Į S A K Y M A S</w:t>
      </w:r>
    </w:p>
    <w:p w:rsidR="00155609" w:rsidRDefault="00155609" w:rsidP="0059521B">
      <w:pPr>
        <w:pStyle w:val="Pavadinimas1"/>
        <w:spacing w:line="278" w:lineRule="auto"/>
        <w:jc w:val="center"/>
      </w:pPr>
      <w:r>
        <w:t xml:space="preserve">DĖL ŠVIETIMO IR MOKSLO MINISTRO 2004 M. BIRŽELIO 25 D. ĮSAKYMO </w:t>
      </w:r>
      <w:r>
        <w:br/>
        <w:t>Nr. ISAK-1019 „DĖL PRIĖMIMO Į VALSTYBINĘ IR SAVIVALDYBĖS BENDROJO UGDYMO MOKYKLĄ, PROFESINIO MOKYMO ĮSTAIGĄ BENDRŲJŲ KRITERIJŲ SĄRAŠO PATVIRTINIMO“ PAKEITIMO</w:t>
      </w:r>
    </w:p>
    <w:p w:rsidR="00155609" w:rsidRDefault="00155609" w:rsidP="0059521B">
      <w:pPr>
        <w:pStyle w:val="MAZAS"/>
        <w:rPr>
          <w:sz w:val="22"/>
          <w:szCs w:val="22"/>
        </w:rPr>
      </w:pPr>
    </w:p>
    <w:p w:rsidR="00155609" w:rsidRDefault="00155609" w:rsidP="0059521B">
      <w:pPr>
        <w:pStyle w:val="ISTATYMAS"/>
        <w:spacing w:line="278" w:lineRule="auto"/>
        <w:rPr>
          <w:sz w:val="22"/>
          <w:szCs w:val="22"/>
        </w:rPr>
      </w:pPr>
      <w:r>
        <w:rPr>
          <w:sz w:val="22"/>
          <w:szCs w:val="22"/>
        </w:rPr>
        <w:t>2011 m. gruodžio 28 d. Nr. V-2548</w:t>
      </w:r>
    </w:p>
    <w:p w:rsidR="00155609" w:rsidRDefault="00155609" w:rsidP="0059521B">
      <w:pPr>
        <w:pStyle w:val="ISTATYMAS"/>
        <w:spacing w:line="278" w:lineRule="auto"/>
        <w:rPr>
          <w:sz w:val="22"/>
          <w:szCs w:val="22"/>
        </w:rPr>
      </w:pPr>
      <w:r>
        <w:rPr>
          <w:sz w:val="22"/>
          <w:szCs w:val="22"/>
        </w:rPr>
        <w:t>Vilnius</w:t>
      </w:r>
    </w:p>
    <w:p w:rsidR="00155609" w:rsidRDefault="00155609" w:rsidP="0059521B">
      <w:pPr>
        <w:pStyle w:val="MAZAS"/>
        <w:rPr>
          <w:sz w:val="22"/>
          <w:szCs w:val="22"/>
        </w:rPr>
      </w:pPr>
    </w:p>
    <w:p w:rsidR="00155609" w:rsidRDefault="00155609" w:rsidP="0059521B">
      <w:pPr>
        <w:pStyle w:val="Pagrindinistekstas1"/>
        <w:spacing w:line="278" w:lineRule="auto"/>
        <w:rPr>
          <w:sz w:val="22"/>
          <w:szCs w:val="22"/>
        </w:rPr>
      </w:pPr>
      <w:r>
        <w:rPr>
          <w:sz w:val="22"/>
          <w:szCs w:val="22"/>
        </w:rPr>
        <w:t>P a k e i č i u Priėmimo į valstybinę ir savivaldybės bendrojo ugdymo mokyklą, profesinio mokymo įstaigą bendrųjų kriterijų sąrašą, patvirtintą Lietuvos Respublikos švietimo ir mokslo ministro 2004 m. birželio 25 d. įsakymu Nr. ISAK-1019 „Dėl Priėmimo į valstybinę ir savivaldybės bendrojo ugdymo mokyklą, profesinio mokymo įstaigą bendrųjų kriterijų sąrašo patvirtinimo“ (Žin., 2004, Nr. </w:t>
      </w:r>
      <w:hyperlink r:id="rId21" w:history="1">
        <w:r>
          <w:rPr>
            <w:rStyle w:val="Hyperlink"/>
            <w:sz w:val="22"/>
            <w:szCs w:val="22"/>
          </w:rPr>
          <w:t>103-3809</w:t>
        </w:r>
      </w:hyperlink>
      <w:r>
        <w:rPr>
          <w:sz w:val="22"/>
          <w:szCs w:val="22"/>
        </w:rPr>
        <w:t>; 2011, Nr. </w:t>
      </w:r>
      <w:hyperlink r:id="rId22" w:history="1">
        <w:r>
          <w:rPr>
            <w:rStyle w:val="Hyperlink"/>
            <w:sz w:val="22"/>
            <w:szCs w:val="22"/>
          </w:rPr>
          <w:t>96-4533</w:t>
        </w:r>
      </w:hyperlink>
      <w:r>
        <w:rPr>
          <w:sz w:val="22"/>
          <w:szCs w:val="22"/>
        </w:rPr>
        <w:t>), ir išdėstau 3 punkto pirmąją pastraipą taip:</w:t>
      </w:r>
    </w:p>
    <w:p w:rsidR="00155609" w:rsidRDefault="00155609" w:rsidP="0059521B">
      <w:pPr>
        <w:pStyle w:val="Pagrindinistekstas1"/>
        <w:spacing w:line="278" w:lineRule="auto"/>
        <w:rPr>
          <w:sz w:val="22"/>
          <w:szCs w:val="22"/>
        </w:rPr>
      </w:pPr>
      <w:r>
        <w:rPr>
          <w:sz w:val="22"/>
          <w:szCs w:val="22"/>
        </w:rPr>
        <w:t xml:space="preserve">„3. Kiekvienais kalendoriniais metais iki kovo 31 d. valstybinių ir savivaldybių mokyklų savininko teises ir pareigas įgyvendinančios institucijos, dalyvių susirinkimas (savininkas) bendrojo ugdymo mokykloms (atskirai – jų skyriams, filialams, jei jie įregistruoti kitose gyvenamosiose vietovėse) nustato priėmimo laiką, klasių skaičių ir mokinių skaičiaus vidurkį klasėse pagal vykdomas bendrojo ugdymo programas, priešmokyklinio ugdymo grupių ir vaikų skaičiaus vidurkį grupėse kitiems mokslo metams. Iki rugsėjo 1 d. klasių (grupių) skaičių patikslina:“. </w:t>
      </w:r>
    </w:p>
    <w:p w:rsidR="00155609" w:rsidRDefault="00155609" w:rsidP="0059521B">
      <w:pPr>
        <w:pStyle w:val="Linija"/>
        <w:spacing w:line="278" w:lineRule="auto"/>
        <w:rPr>
          <w:sz w:val="22"/>
          <w:szCs w:val="22"/>
        </w:rPr>
      </w:pPr>
    </w:p>
    <w:p w:rsidR="00155609" w:rsidRDefault="00155609" w:rsidP="0059521B">
      <w:pPr>
        <w:pStyle w:val="Linija"/>
        <w:spacing w:line="278" w:lineRule="auto"/>
        <w:rPr>
          <w:sz w:val="22"/>
          <w:szCs w:val="22"/>
        </w:rPr>
      </w:pPr>
      <w:r>
        <w:rPr>
          <w:sz w:val="22"/>
          <w:szCs w:val="22"/>
        </w:rPr>
        <w:t>Švietimo ir mokslo ministras</w:t>
      </w:r>
      <w:r>
        <w:rPr>
          <w:sz w:val="22"/>
          <w:szCs w:val="22"/>
        </w:rPr>
        <w:tab/>
        <w:t>Gintaras Steponavičius _________________</w:t>
      </w:r>
    </w:p>
    <w:sectPr w:rsidR="00155609" w:rsidSect="00170D6A">
      <w:pgSz w:w="11907" w:h="16840" w:code="9"/>
      <w:pgMar w:top="1134" w:right="567" w:bottom="1134" w:left="1701" w:header="709" w:footer="709" w:gutter="0"/>
      <w:paperSrc w:first="1285"/>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21B"/>
    <w:rsid w:val="00155609"/>
    <w:rsid w:val="00170D6A"/>
    <w:rsid w:val="001920A1"/>
    <w:rsid w:val="003649BB"/>
    <w:rsid w:val="00535449"/>
    <w:rsid w:val="0055319D"/>
    <w:rsid w:val="0059521B"/>
    <w:rsid w:val="006E49A5"/>
    <w:rsid w:val="00895CA1"/>
    <w:rsid w:val="009023DB"/>
    <w:rsid w:val="009926C5"/>
    <w:rsid w:val="009C0925"/>
    <w:rsid w:val="00AD625A"/>
    <w:rsid w:val="00C10975"/>
    <w:rsid w:val="00D757FE"/>
    <w:rsid w:val="00D83421"/>
    <w:rsid w:val="00DD3BD8"/>
    <w:rsid w:val="00DF7FE9"/>
    <w:rsid w:val="00F9777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1B"/>
    <w:rPr>
      <w:rFonts w:eastAsia="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9521B"/>
    <w:rPr>
      <w:rFonts w:cs="Times New Roman"/>
      <w:color w:val="0000FF"/>
      <w:u w:val="single"/>
    </w:rPr>
  </w:style>
  <w:style w:type="paragraph" w:styleId="PlainText">
    <w:name w:val="Plain Text"/>
    <w:basedOn w:val="Normal"/>
    <w:link w:val="PlainTextChar"/>
    <w:uiPriority w:val="99"/>
    <w:semiHidden/>
    <w:rsid w:val="0059521B"/>
    <w:rPr>
      <w:rFonts w:ascii="Courier New" w:hAnsi="Courier New"/>
      <w:sz w:val="20"/>
      <w:szCs w:val="20"/>
    </w:rPr>
  </w:style>
  <w:style w:type="character" w:customStyle="1" w:styleId="PlainTextChar">
    <w:name w:val="Plain Text Char"/>
    <w:basedOn w:val="DefaultParagraphFont"/>
    <w:link w:val="PlainText"/>
    <w:uiPriority w:val="99"/>
    <w:semiHidden/>
    <w:locked/>
    <w:rsid w:val="0059521B"/>
    <w:rPr>
      <w:rFonts w:ascii="Courier New" w:hAnsi="Courier New" w:cs="Times New Roman"/>
      <w:sz w:val="20"/>
      <w:szCs w:val="20"/>
    </w:rPr>
  </w:style>
  <w:style w:type="paragraph" w:customStyle="1" w:styleId="MAZAS">
    <w:name w:val="MAZAS"/>
    <w:basedOn w:val="Normal"/>
    <w:uiPriority w:val="99"/>
    <w:rsid w:val="0059521B"/>
    <w:pPr>
      <w:suppressAutoHyphens/>
      <w:autoSpaceDE w:val="0"/>
      <w:autoSpaceDN w:val="0"/>
      <w:adjustRightInd w:val="0"/>
      <w:spacing w:line="295" w:lineRule="auto"/>
      <w:ind w:firstLine="312"/>
      <w:jc w:val="both"/>
    </w:pPr>
    <w:rPr>
      <w:color w:val="000000"/>
      <w:sz w:val="8"/>
      <w:szCs w:val="8"/>
    </w:rPr>
  </w:style>
  <w:style w:type="paragraph" w:customStyle="1" w:styleId="ISTATYMAS">
    <w:name w:val="ISTATYMAS"/>
    <w:basedOn w:val="Normal"/>
    <w:uiPriority w:val="99"/>
    <w:rsid w:val="0059521B"/>
    <w:pPr>
      <w:keepLines/>
      <w:suppressAutoHyphens/>
      <w:autoSpaceDE w:val="0"/>
      <w:autoSpaceDN w:val="0"/>
      <w:adjustRightInd w:val="0"/>
      <w:spacing w:line="288" w:lineRule="auto"/>
      <w:jc w:val="center"/>
    </w:pPr>
    <w:rPr>
      <w:color w:val="000000"/>
      <w:sz w:val="20"/>
      <w:szCs w:val="20"/>
    </w:rPr>
  </w:style>
  <w:style w:type="paragraph" w:customStyle="1" w:styleId="Pavadinimas1">
    <w:name w:val="Pavadinimas1"/>
    <w:basedOn w:val="Normal"/>
    <w:uiPriority w:val="99"/>
    <w:rsid w:val="0059521B"/>
    <w:pPr>
      <w:keepLines/>
      <w:suppressAutoHyphens/>
      <w:autoSpaceDE w:val="0"/>
      <w:autoSpaceDN w:val="0"/>
      <w:adjustRightInd w:val="0"/>
      <w:spacing w:line="288" w:lineRule="auto"/>
      <w:ind w:left="850"/>
    </w:pPr>
    <w:rPr>
      <w:b/>
      <w:bCs/>
      <w:caps/>
      <w:color w:val="000000"/>
      <w:sz w:val="22"/>
      <w:szCs w:val="22"/>
    </w:rPr>
  </w:style>
  <w:style w:type="paragraph" w:customStyle="1" w:styleId="Pagrindinistekstas1">
    <w:name w:val="Pagrindinis tekstas1"/>
    <w:basedOn w:val="Normal"/>
    <w:uiPriority w:val="99"/>
    <w:rsid w:val="0059521B"/>
    <w:pPr>
      <w:suppressAutoHyphens/>
      <w:autoSpaceDE w:val="0"/>
      <w:autoSpaceDN w:val="0"/>
      <w:adjustRightInd w:val="0"/>
      <w:spacing w:line="295" w:lineRule="auto"/>
      <w:ind w:firstLine="312"/>
      <w:jc w:val="both"/>
    </w:pPr>
    <w:rPr>
      <w:color w:val="000000"/>
      <w:sz w:val="20"/>
      <w:szCs w:val="20"/>
    </w:rPr>
  </w:style>
  <w:style w:type="paragraph" w:customStyle="1" w:styleId="Prezidentas">
    <w:name w:val="Prezidentas"/>
    <w:basedOn w:val="Normal"/>
    <w:uiPriority w:val="99"/>
    <w:rsid w:val="0059521B"/>
    <w:pPr>
      <w:tabs>
        <w:tab w:val="right" w:pos="9808"/>
      </w:tabs>
      <w:suppressAutoHyphens/>
      <w:autoSpaceDE w:val="0"/>
      <w:autoSpaceDN w:val="0"/>
      <w:adjustRightInd w:val="0"/>
      <w:spacing w:line="288" w:lineRule="auto"/>
    </w:pPr>
    <w:rPr>
      <w:caps/>
      <w:color w:val="000000"/>
      <w:sz w:val="20"/>
      <w:szCs w:val="20"/>
    </w:rPr>
  </w:style>
  <w:style w:type="paragraph" w:customStyle="1" w:styleId="Linija">
    <w:name w:val="Linija"/>
    <w:basedOn w:val="MAZAS"/>
    <w:uiPriority w:val="99"/>
    <w:rsid w:val="0059521B"/>
    <w:pPr>
      <w:ind w:firstLine="0"/>
      <w:jc w:val="center"/>
    </w:pPr>
    <w:rPr>
      <w:sz w:val="12"/>
      <w:szCs w:val="12"/>
    </w:rPr>
  </w:style>
  <w:style w:type="paragraph" w:customStyle="1" w:styleId="CentrBold">
    <w:name w:val="CentrBold"/>
    <w:basedOn w:val="Normal"/>
    <w:uiPriority w:val="99"/>
    <w:rsid w:val="0059521B"/>
    <w:pPr>
      <w:keepLines/>
      <w:suppressAutoHyphens/>
      <w:autoSpaceDE w:val="0"/>
      <w:autoSpaceDN w:val="0"/>
      <w:adjustRightInd w:val="0"/>
      <w:spacing w:line="288" w:lineRule="auto"/>
      <w:jc w:val="center"/>
    </w:pPr>
    <w:rPr>
      <w:b/>
      <w:bCs/>
      <w:caps/>
      <w:color w:val="000000"/>
      <w:sz w:val="20"/>
      <w:szCs w:val="20"/>
    </w:rPr>
  </w:style>
  <w:style w:type="paragraph" w:styleId="BalloonText">
    <w:name w:val="Balloon Text"/>
    <w:basedOn w:val="Normal"/>
    <w:link w:val="BalloonTextChar"/>
    <w:uiPriority w:val="99"/>
    <w:semiHidden/>
    <w:rsid w:val="00C109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587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62025&amp;b=" TargetMode="External"/><Relationship Id="rId13" Type="http://schemas.openxmlformats.org/officeDocument/2006/relationships/hyperlink" Target="http://www3.lrs.lt/pls/inter/dokpaieska.showdoc_l?p_id=394642" TargetMode="External"/><Relationship Id="rId18" Type="http://schemas.openxmlformats.org/officeDocument/2006/relationships/hyperlink" Target="http://www3.lrs.lt/pls/inter/dokpaieska.showdoc_l?p_id=373535" TargetMode="External"/><Relationship Id="rId3" Type="http://schemas.openxmlformats.org/officeDocument/2006/relationships/webSettings" Target="webSettings.xml"/><Relationship Id="rId21" Type="http://schemas.openxmlformats.org/officeDocument/2006/relationships/hyperlink" Target="http://www3.lrs.lt/pls/inter/dokpaieska.showdoc_l?p_id=236484" TargetMode="External"/><Relationship Id="rId7" Type="http://schemas.openxmlformats.org/officeDocument/2006/relationships/hyperlink" Target="http://www3.lrs.lt/cgi-bin/preps2?a=347278&amp;b=" TargetMode="External"/><Relationship Id="rId12" Type="http://schemas.openxmlformats.org/officeDocument/2006/relationships/hyperlink" Target="http://www3.lrs.lt/pls/inter/dokpaieska.showdoc_l?p_id=236484" TargetMode="External"/><Relationship Id="rId17" Type="http://schemas.openxmlformats.org/officeDocument/2006/relationships/hyperlink" Target="http://www3.lrs.lt/pls/inter/dokpaieska.showdoc_l?p_id=295408" TargetMode="External"/><Relationship Id="rId2" Type="http://schemas.openxmlformats.org/officeDocument/2006/relationships/settings" Target="settings.xml"/><Relationship Id="rId16" Type="http://schemas.openxmlformats.org/officeDocument/2006/relationships/hyperlink" Target="http://www3.lrs.lt/pls/inter/dokpaieska.showdoc_l?p_id=45299" TargetMode="External"/><Relationship Id="rId20" Type="http://schemas.openxmlformats.org/officeDocument/2006/relationships/hyperlink" Target="http://www3.lrs.lt/pls/inter/dokpaieska.showdoc_l?p_id=99406" TargetMode="External"/><Relationship Id="rId1" Type="http://schemas.openxmlformats.org/officeDocument/2006/relationships/styles" Target="styles.xml"/><Relationship Id="rId6" Type="http://schemas.openxmlformats.org/officeDocument/2006/relationships/hyperlink" Target="http://www3.lrs.lt/cgi-bin/preps2?a=331624&amp;b=" TargetMode="External"/><Relationship Id="rId11" Type="http://schemas.openxmlformats.org/officeDocument/2006/relationships/hyperlink" Target="http://www3.lrs.lt/cgi-bin/preps2?a=1480&amp;b=" TargetMode="External"/><Relationship Id="rId24" Type="http://schemas.openxmlformats.org/officeDocument/2006/relationships/theme" Target="theme/theme1.xml"/><Relationship Id="rId5" Type="http://schemas.openxmlformats.org/officeDocument/2006/relationships/hyperlink" Target="http://www3.lrs.lt/cgi-bin/preps2?a=327811&amp;b=" TargetMode="External"/><Relationship Id="rId15" Type="http://schemas.openxmlformats.org/officeDocument/2006/relationships/hyperlink" Target="http://www3.lrs.lt/pls/inter/dokpaieska.showdoc_l?p_id=395105" TargetMode="External"/><Relationship Id="rId23" Type="http://schemas.openxmlformats.org/officeDocument/2006/relationships/fontTable" Target="fontTable.xml"/><Relationship Id="rId10" Type="http://schemas.openxmlformats.org/officeDocument/2006/relationships/hyperlink" Target="http://www3.lrs.lt/cgi-bin/preps2?a=370485&amp;b=" TargetMode="External"/><Relationship Id="rId19" Type="http://schemas.openxmlformats.org/officeDocument/2006/relationships/hyperlink" Target="http://www3.lrs.lt/pls/inter/dokpaieska.showdoc_l?p_id=96034" TargetMode="External"/><Relationship Id="rId4" Type="http://schemas.openxmlformats.org/officeDocument/2006/relationships/hyperlink" Target="http://www3.lrs.lt/cgi-bin/preps2?a=5884&amp;b=" TargetMode="External"/><Relationship Id="rId9" Type="http://schemas.openxmlformats.org/officeDocument/2006/relationships/hyperlink" Target="http://www3.lrs.lt/cgi-bin/preps2?a=365492&amp;b=" TargetMode="External"/><Relationship Id="rId14" Type="http://schemas.openxmlformats.org/officeDocument/2006/relationships/hyperlink" Target="http://www3.lrs.lt/pls/inter/dokpaieska.showdoc_l?p_id=1480" TargetMode="External"/><Relationship Id="rId22" Type="http://schemas.openxmlformats.org/officeDocument/2006/relationships/hyperlink" Target="http://www3.lrs.lt/pls/inter/dokpaieska.showdoc_l?p_id=404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6552</Words>
  <Characters>3736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Ruta Rimkuviene</dc:creator>
  <cp:keywords/>
  <dc:description/>
  <cp:lastModifiedBy>V.Palaimiene</cp:lastModifiedBy>
  <cp:revision>2</cp:revision>
  <cp:lastPrinted>2013-03-15T08:21:00Z</cp:lastPrinted>
  <dcterms:created xsi:type="dcterms:W3CDTF">2013-03-18T12:36:00Z</dcterms:created>
  <dcterms:modified xsi:type="dcterms:W3CDTF">2013-03-18T12:36:00Z</dcterms:modified>
</cp:coreProperties>
</file>