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39" w:rsidRDefault="00FE5D39" w:rsidP="00F37203">
      <w:pPr>
        <w:jc w:val="center"/>
        <w:rPr>
          <w:b/>
        </w:rPr>
      </w:pPr>
      <w:bookmarkStart w:id="0" w:name="_GoBack"/>
      <w:bookmarkEnd w:id="0"/>
      <w:r>
        <w:rPr>
          <w:b/>
        </w:rPr>
        <w:t>AIŠKINAMASIS RAŠTAS</w:t>
      </w:r>
    </w:p>
    <w:p w:rsidR="00FE5D39" w:rsidRPr="004E69C8" w:rsidRDefault="00FE5D39" w:rsidP="00B75844">
      <w:pPr>
        <w:jc w:val="center"/>
        <w:rPr>
          <w:b/>
          <w:bCs/>
        </w:rPr>
      </w:pPr>
      <w:r w:rsidRPr="004E69C8">
        <w:rPr>
          <w:b/>
        </w:rPr>
        <w:t xml:space="preserve">PRIE SAVIVALDYBĖS TARYBOS SPRENDIMO „DĖL KLAIPĖDOS MIESTO </w:t>
      </w:r>
      <w:r w:rsidRPr="004E69C8">
        <w:rPr>
          <w:b/>
          <w:bCs/>
        </w:rPr>
        <w:t xml:space="preserve">SAVIVALDYBĖS BIUDŽETINIŲ ĮSTAIGŲ </w:t>
      </w:r>
    </w:p>
    <w:p w:rsidR="00FE5D39" w:rsidRPr="006D09AF" w:rsidRDefault="00FE5D39" w:rsidP="00B75844">
      <w:pPr>
        <w:jc w:val="center"/>
        <w:rPr>
          <w:b/>
        </w:rPr>
      </w:pPr>
      <w:r w:rsidRPr="004E69C8">
        <w:rPr>
          <w:b/>
          <w:bCs/>
          <w:lang w:val="en-US"/>
        </w:rPr>
        <w:t>BUHALTERINĖS APSKAITOS TVARKYMO”</w:t>
      </w:r>
      <w:r w:rsidRPr="004E69C8">
        <w:rPr>
          <w:b/>
        </w:rPr>
        <w:t xml:space="preserve"> PROJEKTO</w:t>
      </w:r>
    </w:p>
    <w:p w:rsidR="00FE5D39" w:rsidRDefault="00FE5D39" w:rsidP="00F37203">
      <w:pPr>
        <w:jc w:val="center"/>
        <w:rPr>
          <w:b/>
        </w:rPr>
      </w:pPr>
    </w:p>
    <w:p w:rsidR="00FE5D39" w:rsidRDefault="00FE5D39" w:rsidP="00F37203">
      <w:pPr>
        <w:jc w:val="both"/>
        <w:rPr>
          <w:b/>
        </w:rPr>
      </w:pPr>
    </w:p>
    <w:p w:rsidR="00FE5D39" w:rsidRPr="00E879A8" w:rsidRDefault="00FE5D39" w:rsidP="00F37203">
      <w:pPr>
        <w:ind w:firstLine="720"/>
        <w:jc w:val="both"/>
        <w:rPr>
          <w:b/>
        </w:rPr>
      </w:pPr>
      <w:r>
        <w:rPr>
          <w:b/>
        </w:rPr>
        <w:t>1. Sprendimo projekto esmė, tikslai ir uždaviniai.</w:t>
      </w:r>
    </w:p>
    <w:p w:rsidR="00FE5D39" w:rsidRPr="00703E2D" w:rsidRDefault="00FE5D39" w:rsidP="00F37203">
      <w:pPr>
        <w:ind w:firstLine="720"/>
        <w:jc w:val="both"/>
      </w:pPr>
      <w:r w:rsidRPr="00622FA4">
        <w:t>Šiuo Tarybos sprendimo projektu siekiama pasirinkti pavaldžių biudžetinių įstaigų buhalterinės apskaitos tvarkymo būdą - nuo 2014 m. sausio 1 d. Klaipėdos miesto savivaldybės biudžetinių įstaigų buhalterinę apskaitą tvarkyti centralizuotai bei patvirtinti Klaipėdos miesto savivaldybės pavaldžių biudžetinių įstaigų apskaitos optimizavimo priemonių planą. Sprendimo projekto tikslas – parinkti buhalterinės apskaitos tvarkymo būdą ir patvirtinti Klaipėdos miesto savivaldybės administracijos veiksmus, pagal kuriuos būtų vykdomas pavaldžių biudžetinių įstaigų apskaitos optimizavimas.</w:t>
      </w:r>
    </w:p>
    <w:p w:rsidR="00FE5D39" w:rsidRPr="00E879A8" w:rsidRDefault="00FE5D39" w:rsidP="00F37203">
      <w:pPr>
        <w:ind w:firstLine="720"/>
        <w:jc w:val="both"/>
        <w:rPr>
          <w:b/>
        </w:rPr>
      </w:pPr>
      <w:r>
        <w:rPr>
          <w:b/>
        </w:rPr>
        <w:t>2. Projekto rengimo priežastys ir kuo remiantis parengtas sprendimo projektas.</w:t>
      </w:r>
    </w:p>
    <w:p w:rsidR="00FE5D39" w:rsidRDefault="00FE5D39" w:rsidP="00F37203">
      <w:pPr>
        <w:tabs>
          <w:tab w:val="left" w:pos="900"/>
        </w:tabs>
        <w:ind w:firstLine="720"/>
        <w:jc w:val="both"/>
      </w:pPr>
      <w:r w:rsidRPr="002D0669">
        <w:t xml:space="preserve">Klaipėdos miesto savivaldybės taryba, </w:t>
      </w:r>
      <w:r w:rsidRPr="002D0669">
        <w:rPr>
          <w:color w:val="000000"/>
        </w:rPr>
        <w:t>atsižvelgdama į UAB „Ernst &amp; Young Baltic” rekomendacijas</w:t>
      </w:r>
      <w:r>
        <w:rPr>
          <w:color w:val="000000"/>
        </w:rPr>
        <w:t xml:space="preserve"> dėl </w:t>
      </w:r>
      <w:r w:rsidRPr="00247630">
        <w:t>Administracijos organizacin</w:t>
      </w:r>
      <w:r>
        <w:t>ės</w:t>
      </w:r>
      <w:r w:rsidRPr="00247630">
        <w:t xml:space="preserve"> struktūr</w:t>
      </w:r>
      <w:r>
        <w:t>os</w:t>
      </w:r>
      <w:r w:rsidRPr="00247630">
        <w:t xml:space="preserve"> ir veiklos funkcij</w:t>
      </w:r>
      <w:r>
        <w:t>ų</w:t>
      </w:r>
      <w:r w:rsidRPr="00247630">
        <w:t xml:space="preserve"> pertvarky</w:t>
      </w:r>
      <w:r>
        <w:t xml:space="preserve">mo, veiklos </w:t>
      </w:r>
      <w:r w:rsidRPr="00247630">
        <w:t>proces</w:t>
      </w:r>
      <w:r>
        <w:t xml:space="preserve">ų ir </w:t>
      </w:r>
      <w:r w:rsidRPr="00247630">
        <w:t>kontrolės priemon</w:t>
      </w:r>
      <w:r>
        <w:t>ių</w:t>
      </w:r>
      <w:r w:rsidRPr="00247630">
        <w:t xml:space="preserve"> </w:t>
      </w:r>
      <w:r>
        <w:t>gerinimo</w:t>
      </w:r>
      <w:r w:rsidRPr="00247630">
        <w:t xml:space="preserve"> siekiant efektyviau įgyvendinti Savivaldybės veiklos programas bei programinį biudžetą</w:t>
      </w:r>
      <w:r w:rsidRPr="002D0669">
        <w:rPr>
          <w:color w:val="000000"/>
        </w:rPr>
        <w:t>, 2009 m. liepos 23 d. sprendimu</w:t>
      </w:r>
      <w:r>
        <w:rPr>
          <w:color w:val="000000"/>
        </w:rPr>
        <w:t xml:space="preserve"> </w:t>
      </w:r>
      <w:r w:rsidRPr="002D0669">
        <w:rPr>
          <w:color w:val="000000"/>
        </w:rPr>
        <w:t>Nr. T2-292 „Dėl pritarimo Klaipėdos miesto savivaldybės administracijos darbo organizavimo pakeitimo prioritetinėm priemonėm“ apsisprendė optimizuoti biudžetinių įstaigų buhalterinę apskaitą</w:t>
      </w:r>
      <w:r>
        <w:rPr>
          <w:color w:val="000000"/>
        </w:rPr>
        <w:t xml:space="preserve">. 2012 m. gegužės 28 d. Klaipėdos miesto savivaldybės administracijos direktoriaus įsakymu Nr. AD1-1226 „Dėl Klaipėdos miesto savivaldybės biudžeto lėšų naudojimo optimizavimo priemonių              2012-2015 m. plano patvirtinimo“ patvirtintame plane </w:t>
      </w:r>
      <w:r w:rsidRPr="002D0669">
        <w:t>numat</w:t>
      </w:r>
      <w:r>
        <w:t>yta</w:t>
      </w:r>
      <w:r w:rsidRPr="002D0669">
        <w:t xml:space="preserve"> pavaldžių biudžetinių įstaigų buha</w:t>
      </w:r>
      <w:r>
        <w:t>lterinės apskaitos centralizavimą</w:t>
      </w:r>
      <w:r w:rsidRPr="002D0669">
        <w:t xml:space="preserve"> įgyvendinti iki 2014 metų.</w:t>
      </w:r>
    </w:p>
    <w:p w:rsidR="00FE5D39" w:rsidRPr="00E879A8" w:rsidRDefault="00FE5D39" w:rsidP="00F37203">
      <w:pPr>
        <w:ind w:firstLine="720"/>
        <w:jc w:val="both"/>
        <w:rPr>
          <w:b/>
        </w:rPr>
      </w:pPr>
      <w:r>
        <w:rPr>
          <w:b/>
        </w:rPr>
        <w:t>3. Kokių rezultatų laukiama.</w:t>
      </w:r>
    </w:p>
    <w:p w:rsidR="00FE5D39" w:rsidRDefault="00FE5D39" w:rsidP="00F37203">
      <w:pPr>
        <w:ind w:firstLine="720"/>
        <w:jc w:val="both"/>
      </w:pPr>
      <w:r>
        <w:rPr>
          <w:lang w:val="en-US"/>
        </w:rPr>
        <w:t xml:space="preserve">Priėmus šį </w:t>
      </w:r>
      <w:r>
        <w:t>Tarybos sprendimo projektą:</w:t>
      </w:r>
    </w:p>
    <w:p w:rsidR="00FE5D39" w:rsidRDefault="00FE5D39" w:rsidP="004031FE">
      <w:pPr>
        <w:tabs>
          <w:tab w:val="left" w:pos="426"/>
          <w:tab w:val="left" w:pos="993"/>
        </w:tabs>
        <w:ind w:firstLine="709"/>
        <w:jc w:val="both"/>
      </w:pPr>
      <w:r>
        <w:t>1.</w:t>
      </w:r>
      <w:r>
        <w:tab/>
        <w:t>buhalterinę apskaitą tvarkant centralizuotai būtų pasiektas didesnis Klaipėdos miesto savivaldybės veiklos modernizavimo, apskaitos tvarkymo, veiklos procesų vykdymo ir kontrolės lygis mažesniais finansiniais, materialiais ir nematerialiais ištekliais;            2. naudojant vieningą standartizuotą finansų valdymo ir apskaitos informacinę sistemą bus įmanoma efektyvi nuolatinė veiklos procesų rezultatų stebėsena, padidės atliekamų operacijų skaidrumas bei operatyvumas, padidės buhalterinės apskaitos kokybė, sumažės klaidų ir informacijos dubliavimo tikimybė;</w:t>
      </w:r>
    </w:p>
    <w:p w:rsidR="00FE5D39" w:rsidRDefault="00FE5D39" w:rsidP="004031FE">
      <w:pPr>
        <w:tabs>
          <w:tab w:val="left" w:pos="993"/>
        </w:tabs>
        <w:ind w:firstLine="737"/>
        <w:jc w:val="both"/>
      </w:pPr>
      <w:r>
        <w:t>3.</w:t>
      </w:r>
      <w:r>
        <w:tab/>
        <w:t>visos Savivaldybės administracijos ir jai pavaldžių biudžetinių įstaigų ūkinės operacijos ir ūkiniai įvykiai bus registruojami pagal vieningą apskaitos vadovą, atsižvelgiant į viešojo sektoriaus apskaitos ir finansinės atskaitomybės standartus bei Savivaldybės administracijos ir pavaldžių biudžetinių įstaigų veiklos keliamus reikalavimus (atskirai pagal kiekvienos įstaigos veiklas, projektus ir lėšas);</w:t>
      </w:r>
    </w:p>
    <w:p w:rsidR="00FE5D39" w:rsidRDefault="00FE5D39" w:rsidP="004031FE">
      <w:pPr>
        <w:tabs>
          <w:tab w:val="left" w:pos="993"/>
        </w:tabs>
        <w:ind w:firstLine="737"/>
        <w:jc w:val="both"/>
      </w:pPr>
      <w:r>
        <w:t>4.</w:t>
      </w:r>
      <w:r>
        <w:tab/>
        <w:t>naudojant vieningą duomenų bazę, biudžetinių įstaigų vadovai, vykdydami įstaigų ūkinę veiklą, finansinių išteklių valdymą bei organizuodami viešuosius pirkimus, naudosis operatyviai ir kokybiškai parengta informacija (pvz.: suvestinę asignavimų lėšų likučių ataskaitą, apmokėtų dokumentų sąrašą ir kt.);</w:t>
      </w:r>
    </w:p>
    <w:p w:rsidR="00FE5D39" w:rsidRDefault="00FE5D39" w:rsidP="004031FE">
      <w:pPr>
        <w:tabs>
          <w:tab w:val="left" w:pos="993"/>
        </w:tabs>
        <w:ind w:firstLine="737"/>
        <w:jc w:val="both"/>
      </w:pPr>
      <w:r>
        <w:t>5.</w:t>
      </w:r>
      <w:r>
        <w:tab/>
        <w:t>būtų įgyvendinta viena iš Savivaldybės biudžeto lėšų naudojimo optimizavimo priemonių – ženkliai sumažėtų Savivaldybės biudžeto išlaidos susijusios su apskaitos darbuotojų darbo vietų išlaikymu;</w:t>
      </w:r>
    </w:p>
    <w:p w:rsidR="00FE5D39" w:rsidRDefault="00FE5D39" w:rsidP="004031FE">
      <w:pPr>
        <w:tabs>
          <w:tab w:val="left" w:pos="993"/>
        </w:tabs>
        <w:ind w:firstLine="737"/>
        <w:jc w:val="both"/>
      </w:pPr>
      <w:r>
        <w:t>6. b</w:t>
      </w:r>
      <w:r w:rsidRPr="002D0669">
        <w:t xml:space="preserve">uhalterinę apskaitą tvarkant centralizuotai, biudžetinės įstaigos nepraras savo finansinio savarankiškumo, t.y. biudžetinių įstaigų vadovai vadovaudamiesi atsakingo ir kokybiško savo įstaigos veiklos planavimo, racionalaus ir ekonomiško jiems skirtų biudžeto lėšų naudojimo principais, įstaigos veiklą </w:t>
      </w:r>
      <w:r>
        <w:t xml:space="preserve">ir toliau </w:t>
      </w:r>
      <w:r w:rsidRPr="002D0669">
        <w:t>organizuos taip, kad būtų teisėtai ir ekonomiškai naudojamos biudžeto bei kitos tikslinės lėšos ir miesto gyventojams teikiamos kokybiškos paslaugos</w:t>
      </w:r>
      <w:r>
        <w:t>.</w:t>
      </w:r>
    </w:p>
    <w:p w:rsidR="00FE5D39" w:rsidRDefault="00FE5D39" w:rsidP="003950E7">
      <w:pPr>
        <w:ind w:firstLine="720"/>
        <w:jc w:val="both"/>
      </w:pPr>
      <w:r>
        <w:rPr>
          <w:b/>
        </w:rPr>
        <w:t>4. Sprendimo  projekto rengimo metu gauti specialistų vertinimai.</w:t>
      </w:r>
    </w:p>
    <w:p w:rsidR="00FE5D39" w:rsidRPr="006E09C7" w:rsidRDefault="00FE5D39" w:rsidP="003950E7">
      <w:pPr>
        <w:ind w:firstLine="720"/>
        <w:jc w:val="both"/>
      </w:pPr>
      <w:r w:rsidRPr="00D21011">
        <w:t>Negauta.</w:t>
      </w:r>
    </w:p>
    <w:p w:rsidR="00FE5D39" w:rsidRDefault="00FE5D39" w:rsidP="00F37203">
      <w:pPr>
        <w:ind w:firstLine="720"/>
        <w:jc w:val="both"/>
        <w:rPr>
          <w:b/>
        </w:rPr>
      </w:pPr>
      <w:r>
        <w:rPr>
          <w:b/>
        </w:rPr>
        <w:t>5. Išlaidų sąmatos, skaičiavimai, reikalingi pagrindimai ir paaiškinimai.</w:t>
      </w:r>
    </w:p>
    <w:p w:rsidR="00FE5D39" w:rsidRPr="006E1140" w:rsidRDefault="00FE5D39" w:rsidP="004E69C8">
      <w:pPr>
        <w:ind w:firstLine="720"/>
        <w:jc w:val="both"/>
      </w:pPr>
      <w:r>
        <w:t>P</w:t>
      </w:r>
      <w:r w:rsidRPr="006E1140">
        <w:t>erdavus apskaitos funkciją Administracijai,</w:t>
      </w:r>
      <w:r>
        <w:t xml:space="preserve"> biudžetinėse įstaigose panaikinamos apie 194 buhalterinės apskaitos darbuotojų pareigybės ir atsisakoma buhalterinės apskaitos programų. Preliminari ekonomija sudarytų 5 965,1 tūkst. Lt, iš kurių: 5 123 tūkst. Lt - metinis buhalterinės apskaitos darbuotojų darbo užmokestis ir socialinio draudimo įmokos; 586,7 tūkst. Lt - darbo vietos išlaikymas; 255,4 tūkst. Lt - atsisakomų buhalterinės apskaitos programų aptarnavimo mokestis. </w:t>
      </w:r>
    </w:p>
    <w:p w:rsidR="00FE5D39" w:rsidRDefault="00FE5D39" w:rsidP="004E69C8">
      <w:pPr>
        <w:ind w:firstLine="720"/>
        <w:jc w:val="both"/>
      </w:pPr>
      <w:r w:rsidRPr="00B8334D">
        <w:t>Preliminarus lėšų poreikis dėl a</w:t>
      </w:r>
      <w:r w:rsidRPr="008A2A3D">
        <w:t xml:space="preserve">pskaitos funkcijos pertvarkymo </w:t>
      </w:r>
      <w:r>
        <w:t xml:space="preserve">ir apskaitos būdo pakeitimo </w:t>
      </w:r>
      <w:r w:rsidRPr="008A2A3D">
        <w:t>sudarytų</w:t>
      </w:r>
      <w:r>
        <w:t xml:space="preserve"> 2 732 tūkst. Lt, iš kurių: 1 386,3 tūkst. Lt naujai įkurto Administracijos </w:t>
      </w:r>
      <w:r w:rsidRPr="008A2A3D">
        <w:t>padalinio darbuotojų darbo užmokestis</w:t>
      </w:r>
      <w:r>
        <w:t xml:space="preserve"> ir </w:t>
      </w:r>
      <w:r w:rsidRPr="006E1140">
        <w:t>socialinio draudimo įmokos; 158</w:t>
      </w:r>
      <w:r>
        <w:t>,7 tūkst.</w:t>
      </w:r>
      <w:r w:rsidRPr="006E1140">
        <w:t xml:space="preserve"> Lt darbo vietos išlaikymas</w:t>
      </w:r>
      <w:r>
        <w:t xml:space="preserve"> </w:t>
      </w:r>
      <w:r w:rsidRPr="006E1140">
        <w:t xml:space="preserve"> (vienos darbo vietos </w:t>
      </w:r>
      <w:r>
        <w:t>išlaikymo kaštai sudaro 15</w:t>
      </w:r>
      <w:r w:rsidRPr="006E1140">
        <w:t xml:space="preserve"> % darbuotojo metinio darbo užmokesčio</w:t>
      </w:r>
      <w:r>
        <w:t xml:space="preserve">); 1 065 tūkst. Lt papildomai įsteigtos specialisto pareigybės biudžetinėse įstaigose darbo užmokestis ir socialinio </w:t>
      </w:r>
      <w:r w:rsidRPr="006E1140">
        <w:t xml:space="preserve">draudimo įmokos; </w:t>
      </w:r>
      <w:r>
        <w:t xml:space="preserve">122 tūkst. </w:t>
      </w:r>
      <w:r w:rsidRPr="006E1140">
        <w:t xml:space="preserve">Lt </w:t>
      </w:r>
      <w:r>
        <w:t xml:space="preserve">- šių darbuotojų </w:t>
      </w:r>
      <w:r w:rsidRPr="006E1140">
        <w:t>darbo vietos išlaikymas</w:t>
      </w:r>
      <w:r>
        <w:t xml:space="preserve"> (biudžetinėse įstaigose bus įsteigiama specialisto pareigybė</w:t>
      </w:r>
      <w:r w:rsidRPr="00290A14">
        <w:t xml:space="preserve"> </w:t>
      </w:r>
      <w:r w:rsidRPr="00807739">
        <w:t>komunikacij</w:t>
      </w:r>
      <w:r>
        <w:t>ai</w:t>
      </w:r>
      <w:r w:rsidRPr="00807739">
        <w:t xml:space="preserve"> su </w:t>
      </w:r>
      <w:r>
        <w:t>Klaipėdos miesto savivaldybės administracija)</w:t>
      </w:r>
      <w:r w:rsidRPr="006E1140">
        <w:t>.</w:t>
      </w:r>
      <w:r w:rsidRPr="004E69C8">
        <w:t xml:space="preserve"> </w:t>
      </w:r>
    </w:p>
    <w:p w:rsidR="00FE5D39" w:rsidRPr="004E69C8" w:rsidRDefault="00FE5D39" w:rsidP="004E69C8">
      <w:pPr>
        <w:ind w:firstLine="720"/>
        <w:jc w:val="both"/>
      </w:pPr>
      <w:r>
        <w:t xml:space="preserve">Prognozuojamas ekonominis efektas 3,2 mln. Lt (5 965,1 tūkst. </w:t>
      </w:r>
      <w:r w:rsidRPr="006E1140">
        <w:t xml:space="preserve">Lt </w:t>
      </w:r>
      <w:r>
        <w:t xml:space="preserve"> – 2 732</w:t>
      </w:r>
      <w:r w:rsidRPr="004E69C8">
        <w:t xml:space="preserve"> </w:t>
      </w:r>
      <w:r>
        <w:t xml:space="preserve">tūkst. </w:t>
      </w:r>
      <w:r w:rsidRPr="006E1140">
        <w:t xml:space="preserve">Lt </w:t>
      </w:r>
      <w:r>
        <w:t xml:space="preserve"> = 3 233,1</w:t>
      </w:r>
      <w:r w:rsidRPr="004E69C8">
        <w:t xml:space="preserve"> </w:t>
      </w:r>
      <w:r>
        <w:t>tūkst. Lt). P</w:t>
      </w:r>
      <w:r w:rsidRPr="004E69C8">
        <w:t>irmais metais ekonomija bus mažesnė įvertinus išeitines išmokas</w:t>
      </w:r>
      <w:r>
        <w:t xml:space="preserve"> apie </w:t>
      </w:r>
      <w:r w:rsidRPr="004E69C8">
        <w:t xml:space="preserve">1,1 mln. Lt biudžetinių įstaigų </w:t>
      </w:r>
      <w:r>
        <w:t xml:space="preserve">buhalterinės apskaitos darbuotojams </w:t>
      </w:r>
      <w:r w:rsidRPr="004E69C8">
        <w:t>(daroma prielaida, kad išeitinė</w:t>
      </w:r>
      <w:r>
        <w:t>s</w:t>
      </w:r>
      <w:r w:rsidRPr="004E69C8">
        <w:t xml:space="preserve"> kompensacijos dydžio suma vidutiniškai lygi darbuotojo 4 mėnesių darbo užmokesčio dydžiui, o tiksliai ši suma gali būti įvertinta tik išanalizavus konkretaus darbuotojo nepertraukiamą darbo stažą bei kitas aplinkybes).</w:t>
      </w:r>
    </w:p>
    <w:p w:rsidR="00FE5D39" w:rsidRPr="00E879A8" w:rsidRDefault="00FE5D39" w:rsidP="00F37203">
      <w:pPr>
        <w:ind w:firstLine="720"/>
        <w:jc w:val="both"/>
        <w:rPr>
          <w:b/>
        </w:rPr>
      </w:pPr>
      <w:r>
        <w:rPr>
          <w:b/>
        </w:rPr>
        <w:t>6. Lėšų poreikis sprendimo įgyvendinimui.</w:t>
      </w:r>
    </w:p>
    <w:p w:rsidR="00FE5D39" w:rsidRPr="00B8334D" w:rsidRDefault="00FE5D39" w:rsidP="00B8334D">
      <w:pPr>
        <w:ind w:firstLine="720"/>
        <w:jc w:val="both"/>
      </w:pPr>
      <w:r w:rsidRPr="00B8334D">
        <w:t>Preliminarus lėšų poreikis 2013 m. sudarytų 231 tūkst. Lt (115,5 tūkst. Lt  x 2 mėn.) – nuo 2013 m. spalio 1 d</w:t>
      </w:r>
      <w:r>
        <w:t>.</w:t>
      </w:r>
      <w:r w:rsidRPr="00B8334D">
        <w:t xml:space="preserve"> naujai įkurto Administracijos padalinio darbuotojų darbo užmokestis ir socialinio draudimo įmokos (daroma prielaida, kad padalinys gali būti suformuotas per vieną mėnesį). Taip pat lėšos darbo vietų įrengimui, kurių tikslią sumą bus galima apskaičiuoti įvertinus kokią turto dalį galima būtų perimti iš </w:t>
      </w:r>
      <w:r>
        <w:t xml:space="preserve">biudžetinių </w:t>
      </w:r>
      <w:r w:rsidRPr="00B8334D">
        <w:t>įstaigų savivaldybės administracijos nuosavybėn.</w:t>
      </w:r>
    </w:p>
    <w:p w:rsidR="00FE5D39" w:rsidRPr="00E879A8" w:rsidRDefault="00FE5D39" w:rsidP="00F37203">
      <w:pPr>
        <w:ind w:firstLine="720"/>
        <w:jc w:val="both"/>
        <w:rPr>
          <w:b/>
        </w:rPr>
      </w:pPr>
      <w:r>
        <w:rPr>
          <w:b/>
        </w:rPr>
        <w:t>7. Galimos teigiamos ar neigiamos sprendimo priėmimo pasekmės.</w:t>
      </w:r>
    </w:p>
    <w:p w:rsidR="00FE5D39" w:rsidRDefault="00FE5D39" w:rsidP="00F37203">
      <w:pPr>
        <w:ind w:firstLine="720"/>
        <w:jc w:val="both"/>
      </w:pPr>
      <w:r>
        <w:t xml:space="preserve">Įgyvendinant šį sprendimą numatomos neigiamos pasekmės - </w:t>
      </w:r>
      <w:r w:rsidRPr="008523AD">
        <w:t>s</w:t>
      </w:r>
      <w:r>
        <w:t>ocialinis efektas dėl darbuotojų skaičiaus mažinimo pavaldžiose biudžetinėse įstaigose</w:t>
      </w:r>
      <w:r w:rsidRPr="00AA1EA7">
        <w:t>. Teigiamos pasekmės – vieningas</w:t>
      </w:r>
      <w:r w:rsidRPr="009072DD">
        <w:t xml:space="preserve"> kaupimo principo apskaitoje </w:t>
      </w:r>
      <w:r>
        <w:t>taikymas</w:t>
      </w:r>
      <w:r w:rsidRPr="00D1451A">
        <w:t xml:space="preserve"> </w:t>
      </w:r>
      <w:r>
        <w:t xml:space="preserve">pagal </w:t>
      </w:r>
      <w:r w:rsidRPr="00AA1EA7">
        <w:t>viešojo sektoriaus apskaitos ir finansinės atskaitomybės standartus</w:t>
      </w:r>
      <w:r w:rsidRPr="009072DD">
        <w:t xml:space="preserve"> savivaldybės mastu</w:t>
      </w:r>
      <w:r>
        <w:t xml:space="preserve">; efektyvus metodologinis vadovavimas tvarkant visų Savivaldybės biudžetinių įstaigų buhalterinę apskaitą pagal viešojo sektoriaus apskaitos ir finansinės atskaitomybės standartus; didesnis </w:t>
      </w:r>
      <w:r w:rsidRPr="00702BD0">
        <w:t>apskaitos proceso efektyvumas;</w:t>
      </w:r>
      <w:r>
        <w:t xml:space="preserve"> </w:t>
      </w:r>
      <w:r w:rsidRPr="00702BD0">
        <w:t>ekonominis efektas (</w:t>
      </w:r>
      <w:r>
        <w:t>biudžetinių įstaigų buhalterinės apskaitos darbuotojų pareigybių skaičiaus sumažinimas ir buhalterinės apskaitos programų atsisakymas); optimalus įdiegtos Finansų valdymo ir apskaitos informacinės sistemos išnaudojimas</w:t>
      </w:r>
      <w:r w:rsidRPr="00702BD0">
        <w:t>;</w:t>
      </w:r>
      <w:r>
        <w:t xml:space="preserve"> Savivaldybės lėšų panaudojimo kontrolė.</w:t>
      </w:r>
    </w:p>
    <w:p w:rsidR="00FE5D39" w:rsidRDefault="00FE5D39" w:rsidP="00F37203">
      <w:pPr>
        <w:jc w:val="both"/>
      </w:pPr>
    </w:p>
    <w:p w:rsidR="00FE5D39" w:rsidRDefault="00FE5D39" w:rsidP="00F37203">
      <w:pPr>
        <w:jc w:val="both"/>
      </w:pPr>
    </w:p>
    <w:p w:rsidR="00FE5D39" w:rsidRDefault="00FE5D39" w:rsidP="00F37203">
      <w:pPr>
        <w:jc w:val="both"/>
      </w:pPr>
    </w:p>
    <w:p w:rsidR="00FE5D39" w:rsidRPr="00175E51" w:rsidRDefault="00FE5D39" w:rsidP="00F37203">
      <w:pPr>
        <w:jc w:val="both"/>
      </w:pPr>
      <w:r>
        <w:t>Finansų ir turto departamento direktorė</w:t>
      </w:r>
      <w:r>
        <w:tab/>
      </w:r>
      <w:r>
        <w:tab/>
      </w:r>
      <w:r>
        <w:tab/>
      </w:r>
      <w:r>
        <w:tab/>
        <w:t>Aldona Špučienė</w:t>
      </w:r>
    </w:p>
    <w:sectPr w:rsidR="00FE5D39" w:rsidRPr="00175E51" w:rsidSect="00E9032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96A"/>
    <w:multiLevelType w:val="hybridMultilevel"/>
    <w:tmpl w:val="0EA2C7C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8E531D4"/>
    <w:multiLevelType w:val="hybridMultilevel"/>
    <w:tmpl w:val="ABC08454"/>
    <w:lvl w:ilvl="0" w:tplc="04270001">
      <w:start w:val="1"/>
      <w:numFmt w:val="bullet"/>
      <w:lvlText w:val=""/>
      <w:lvlJc w:val="left"/>
      <w:pPr>
        <w:tabs>
          <w:tab w:val="num" w:pos="720"/>
        </w:tabs>
        <w:ind w:left="720" w:hanging="360"/>
      </w:pPr>
      <w:rPr>
        <w:rFonts w:ascii="Symbol" w:hAnsi="Symbol" w:hint="default"/>
      </w:rPr>
    </w:lvl>
    <w:lvl w:ilvl="1" w:tplc="FEF4A09C">
      <w:start w:val="1"/>
      <w:numFmt w:val="decimal"/>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203"/>
    <w:rsid w:val="0013643F"/>
    <w:rsid w:val="0013653A"/>
    <w:rsid w:val="00175E51"/>
    <w:rsid w:val="001D014E"/>
    <w:rsid w:val="00247630"/>
    <w:rsid w:val="00290A14"/>
    <w:rsid w:val="002D0669"/>
    <w:rsid w:val="00312D41"/>
    <w:rsid w:val="003950E7"/>
    <w:rsid w:val="003B2AEE"/>
    <w:rsid w:val="004031FE"/>
    <w:rsid w:val="004E69C8"/>
    <w:rsid w:val="00622FA4"/>
    <w:rsid w:val="0067207C"/>
    <w:rsid w:val="006D09AF"/>
    <w:rsid w:val="006E09C7"/>
    <w:rsid w:val="006E1140"/>
    <w:rsid w:val="00702BD0"/>
    <w:rsid w:val="00703E2D"/>
    <w:rsid w:val="00730369"/>
    <w:rsid w:val="007A0B55"/>
    <w:rsid w:val="00807739"/>
    <w:rsid w:val="008523AD"/>
    <w:rsid w:val="008A2A3D"/>
    <w:rsid w:val="008D6008"/>
    <w:rsid w:val="009072DD"/>
    <w:rsid w:val="00951E86"/>
    <w:rsid w:val="009F2F00"/>
    <w:rsid w:val="00A6509E"/>
    <w:rsid w:val="00AA00E2"/>
    <w:rsid w:val="00AA1EA7"/>
    <w:rsid w:val="00B75844"/>
    <w:rsid w:val="00B8334D"/>
    <w:rsid w:val="00C0379E"/>
    <w:rsid w:val="00C80845"/>
    <w:rsid w:val="00D1451A"/>
    <w:rsid w:val="00D21011"/>
    <w:rsid w:val="00D2233D"/>
    <w:rsid w:val="00D34EDA"/>
    <w:rsid w:val="00D97EEB"/>
    <w:rsid w:val="00DA25C7"/>
    <w:rsid w:val="00E62F37"/>
    <w:rsid w:val="00E879A8"/>
    <w:rsid w:val="00E90322"/>
    <w:rsid w:val="00F37203"/>
    <w:rsid w:val="00FE5D3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0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950E7"/>
    <w:pPr>
      <w:spacing w:line="360" w:lineRule="auto"/>
      <w:ind w:firstLine="1298"/>
    </w:pPr>
    <w:rPr>
      <w:szCs w:val="20"/>
      <w:lang w:eastAsia="en-US"/>
    </w:rPr>
  </w:style>
  <w:style w:type="character" w:customStyle="1" w:styleId="BodyTextChar">
    <w:name w:val="Body Text Char"/>
    <w:basedOn w:val="DefaultParagraphFont"/>
    <w:link w:val="BodyText"/>
    <w:uiPriority w:val="99"/>
    <w:semiHidden/>
    <w:locked/>
    <w:rsid w:val="003950E7"/>
    <w:rPr>
      <w:rFonts w:ascii="Times New Roman" w:hAnsi="Times New Roman" w:cs="Times New Roman"/>
      <w:sz w:val="20"/>
      <w:szCs w:val="20"/>
    </w:rPr>
  </w:style>
  <w:style w:type="paragraph" w:styleId="ListParagraph">
    <w:name w:val="List Paragraph"/>
    <w:basedOn w:val="Normal"/>
    <w:uiPriority w:val="99"/>
    <w:qFormat/>
    <w:rsid w:val="00B8334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75333092">
      <w:marLeft w:val="0"/>
      <w:marRight w:val="0"/>
      <w:marTop w:val="0"/>
      <w:marBottom w:val="0"/>
      <w:divBdr>
        <w:top w:val="none" w:sz="0" w:space="0" w:color="auto"/>
        <w:left w:val="none" w:sz="0" w:space="0" w:color="auto"/>
        <w:bottom w:val="none" w:sz="0" w:space="0" w:color="auto"/>
        <w:right w:val="none" w:sz="0" w:space="0" w:color="auto"/>
      </w:divBdr>
    </w:div>
    <w:div w:id="127533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4479</Words>
  <Characters>2554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Lina Ceponiene</dc:creator>
  <cp:keywords/>
  <dc:description/>
  <cp:lastModifiedBy>V.Palaimiene</cp:lastModifiedBy>
  <cp:revision>2</cp:revision>
  <cp:lastPrinted>2013-04-15T07:11:00Z</cp:lastPrinted>
  <dcterms:created xsi:type="dcterms:W3CDTF">2013-04-17T12:13:00Z</dcterms:created>
  <dcterms:modified xsi:type="dcterms:W3CDTF">2013-04-17T12:13:00Z</dcterms:modified>
</cp:coreProperties>
</file>