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2F" w:rsidRPr="00994A68" w:rsidRDefault="00F9272F" w:rsidP="007846C2">
      <w:pPr>
        <w:jc w:val="center"/>
        <w:rPr>
          <w:b/>
          <w:caps/>
          <w:sz w:val="24"/>
          <w:szCs w:val="24"/>
          <w:lang w:val="lt-LT"/>
        </w:rPr>
      </w:pPr>
      <w:r w:rsidRPr="00994A68">
        <w:rPr>
          <w:b/>
          <w:caps/>
          <w:sz w:val="24"/>
          <w:szCs w:val="24"/>
          <w:lang w:val="lt-LT"/>
        </w:rPr>
        <w:t>Aiškinamasis raštas</w:t>
      </w:r>
    </w:p>
    <w:p w:rsidR="00F9272F" w:rsidRPr="00994A68" w:rsidRDefault="00F9272F" w:rsidP="007846C2">
      <w:pPr>
        <w:pStyle w:val="Heading3"/>
        <w:ind w:right="-81"/>
        <w:rPr>
          <w:szCs w:val="24"/>
          <w:lang w:val="lt-LT"/>
        </w:rPr>
      </w:pPr>
      <w:r w:rsidRPr="00994A68">
        <w:rPr>
          <w:szCs w:val="24"/>
          <w:lang w:val="lt-LT"/>
        </w:rPr>
        <w:t xml:space="preserve">PRIE SAVIVALDYBĖS TARYBOS SPRENDIMO </w:t>
      </w:r>
      <w:r w:rsidRPr="00994A68">
        <w:rPr>
          <w:caps/>
          <w:szCs w:val="24"/>
          <w:lang w:val="lt-LT"/>
        </w:rPr>
        <w:t xml:space="preserve">projekto „Dėl </w:t>
      </w:r>
      <w:r w:rsidRPr="00994A68">
        <w:rPr>
          <w:szCs w:val="24"/>
          <w:lang w:val="lt-LT"/>
        </w:rPr>
        <w:t>AB „KLAIPĖDOS</w:t>
      </w:r>
      <w:r>
        <w:rPr>
          <w:szCs w:val="24"/>
          <w:lang w:val="lt-LT"/>
        </w:rPr>
        <w:t xml:space="preserve"> VANDUO</w:t>
      </w:r>
      <w:r w:rsidRPr="00994A68">
        <w:rPr>
          <w:szCs w:val="24"/>
          <w:lang w:val="lt-LT"/>
        </w:rPr>
        <w:t>“ ĮSTATINIO KAPITALO DIDINIMO</w:t>
      </w:r>
      <w:r>
        <w:rPr>
          <w:szCs w:val="24"/>
          <w:lang w:val="lt-LT"/>
        </w:rPr>
        <w:t>“</w:t>
      </w:r>
    </w:p>
    <w:p w:rsidR="00F9272F" w:rsidRPr="00994A68" w:rsidRDefault="00F9272F" w:rsidP="007846C2">
      <w:pPr>
        <w:ind w:firstLine="720"/>
        <w:rPr>
          <w:b/>
          <w:sz w:val="24"/>
          <w:szCs w:val="24"/>
          <w:lang w:val="lt-LT"/>
        </w:rPr>
      </w:pPr>
    </w:p>
    <w:p w:rsidR="00F9272F" w:rsidRPr="00994A68" w:rsidRDefault="00F9272F" w:rsidP="007846C2">
      <w:pPr>
        <w:ind w:firstLine="1080"/>
        <w:jc w:val="both"/>
        <w:rPr>
          <w:sz w:val="24"/>
          <w:szCs w:val="24"/>
          <w:lang w:val="lt-LT"/>
        </w:rPr>
      </w:pPr>
      <w:r w:rsidRPr="00994A68">
        <w:rPr>
          <w:lang w:val="lt-LT"/>
        </w:rPr>
        <w:t xml:space="preserve"> </w:t>
      </w:r>
      <w:r w:rsidRPr="00994A68">
        <w:rPr>
          <w:b/>
          <w:sz w:val="24"/>
          <w:szCs w:val="24"/>
          <w:lang w:val="lt-LT"/>
        </w:rPr>
        <w:t>Sprendimo projekto esmė, tikslai ir uždaviniai</w:t>
      </w:r>
      <w:r w:rsidRPr="00994A68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pavesti Savivaldybės administracijos direktoriui AB „Klaipėdos vanduo“ visuotiniame akcininkų susirinkime įgalioti savivaldybės atstovą balsuoti „už“ įstatinio kapitalo didinimą</w:t>
      </w:r>
      <w:r w:rsidRPr="00994A68">
        <w:rPr>
          <w:sz w:val="24"/>
          <w:szCs w:val="24"/>
          <w:lang w:val="lt-LT"/>
        </w:rPr>
        <w:t xml:space="preserve">. </w:t>
      </w:r>
    </w:p>
    <w:p w:rsidR="00F9272F" w:rsidRPr="001052E3" w:rsidRDefault="00F9272F" w:rsidP="001052E3">
      <w:pPr>
        <w:ind w:firstLine="709"/>
        <w:jc w:val="both"/>
        <w:rPr>
          <w:rFonts w:cs="Tahoma"/>
          <w:sz w:val="24"/>
          <w:szCs w:val="24"/>
          <w:lang w:val="lt-LT"/>
        </w:rPr>
      </w:pPr>
      <w:r w:rsidRPr="001052E3">
        <w:rPr>
          <w:b/>
          <w:sz w:val="24"/>
          <w:szCs w:val="24"/>
          <w:lang w:val="lt-LT"/>
        </w:rPr>
        <w:t>Projekto rengimo priežastys ir kuo remiantis parengtas sprendimo projektas.</w:t>
      </w:r>
      <w:r w:rsidRPr="001052E3">
        <w:rPr>
          <w:sz w:val="24"/>
          <w:szCs w:val="24"/>
        </w:rPr>
        <w:t xml:space="preserve"> </w:t>
      </w:r>
    </w:p>
    <w:p w:rsidR="00F9272F" w:rsidRDefault="00F9272F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>
        <w:t xml:space="preserve">AB „Klaipėdos vanduo“ teikia viešąsias paslaugas – tiekia geriamąjį vandenį bei teikia nuotekų tvarkymo paslaugas Klaipėdos mieste ir Klaipėdos rajone. Geriamojo vandens tiekimo ir nuotekų tvarkymo įstatymo 18 straipsnio 2 dalis numato, kad viešojo vandens tiekimo ir nuotekų tvarkymo infrastruktūra nuosavybės teise priklauso savivaldybei, kurios teritorijoje vykdomas viešasis vandens tiekimas, arba šios savivaldybės kontroliuojamai įmonei. </w:t>
      </w:r>
      <w:r w:rsidRPr="00994A68">
        <w:t xml:space="preserve">Siekiant, kad </w:t>
      </w:r>
      <w:r>
        <w:t xml:space="preserve">vandens tiekimo ir nuotekų tvarkymo </w:t>
      </w:r>
      <w:r w:rsidRPr="00994A68">
        <w:t>infrastruktūra būtų naudojama ir jos priežiūra būtų atliekama vadovaujantis teisės aktų reikalavimais</w:t>
      </w:r>
      <w:r>
        <w:t>,</w:t>
      </w:r>
      <w:r w:rsidRPr="00994A68">
        <w:t xml:space="preserve"> Klaipėdos </w:t>
      </w:r>
      <w:r>
        <w:t xml:space="preserve">rajono </w:t>
      </w:r>
      <w:r w:rsidRPr="00994A68">
        <w:t>savivaldybės taryba</w:t>
      </w:r>
      <w:r>
        <w:t xml:space="preserve"> 2013-02-22 priė</w:t>
      </w:r>
      <w:r w:rsidRPr="00994A68">
        <w:t>m</w:t>
      </w:r>
      <w:r>
        <w:t>ė</w:t>
      </w:r>
      <w:r w:rsidRPr="00994A68">
        <w:t xml:space="preserve"> sprendimą </w:t>
      </w:r>
      <w:r>
        <w:t xml:space="preserve">Nr. T11-101 „Dėl siūlymo AB „Klaipėdos vanduo“ akcininkų susirinkimui“ kuriuo nusprendė siūlyti AB „Klaipėdos vanduo“ akcininkų susirinkimui išleisti akcijų emisiją, kurią įsigytų Klaipėdos rajono savivaldybė ir apmokėtų turtiniu įnašu – nuosavybės teise valdomais vandenviečių ir nuotekų valymo tinklais, kurių valstybės įmonės Registrų centro Klaipėdos filialo parengtoje Nekilnojamojo turto rinkos vertės nustatymo ataskaitoje  nustatyta rinkos vertė 3585700 </w:t>
      </w:r>
      <w:r w:rsidRPr="00994A68">
        <w:t xml:space="preserve">litų. </w:t>
      </w:r>
    </w:p>
    <w:p w:rsidR="00F9272F" w:rsidRPr="00994A68" w:rsidRDefault="00F9272F" w:rsidP="00580449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AB „Klaipėdos vanduo“ sušaukė visuotinį akcininkų susirinkimą, kurio darbotvarkėje numatyta svarstyti klausimą dėl įstatinio kapitalo padidinimo papildomais akcininkų įnašais. </w:t>
      </w:r>
      <w:r w:rsidRPr="00994A68">
        <w:rPr>
          <w:sz w:val="24"/>
          <w:szCs w:val="24"/>
          <w:lang w:val="lt-LT"/>
        </w:rPr>
        <w:t xml:space="preserve">Įgyvendinant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994A68">
          <w:rPr>
            <w:sz w:val="24"/>
            <w:szCs w:val="24"/>
            <w:lang w:val="lt-LT"/>
          </w:rPr>
          <w:t>2007 m</w:t>
        </w:r>
      </w:smartTag>
      <w:r w:rsidRPr="00994A68">
        <w:rPr>
          <w:sz w:val="24"/>
          <w:szCs w:val="24"/>
          <w:lang w:val="lt-LT"/>
        </w:rPr>
        <w:t xml:space="preserve">. birželio 6 d. nutarimu Nr. 567 patvirtintų </w:t>
      </w:r>
      <w:r>
        <w:rPr>
          <w:sz w:val="24"/>
          <w:szCs w:val="24"/>
          <w:lang w:val="lt-LT"/>
        </w:rPr>
        <w:t>S</w:t>
      </w:r>
      <w:r w:rsidRPr="00994A68">
        <w:rPr>
          <w:sz w:val="24"/>
          <w:szCs w:val="24"/>
          <w:lang w:val="lt-LT"/>
        </w:rPr>
        <w:t>avivaldybių turtinių ir neturtinių teisių įgyvendinimo akcinėse bendrovėse ir uždarosiose akcinėse bendrovėse taisyklių 19 punkto 19.1 papunktį, kuris numato, kad</w:t>
      </w:r>
      <w:r w:rsidRPr="00994A68">
        <w:rPr>
          <w:bCs/>
          <w:sz w:val="24"/>
          <w:szCs w:val="24"/>
          <w:lang w:val="lt-LT"/>
        </w:rPr>
        <w:t xml:space="preserve"> tik vadovaudamasis savivaldybės tarybos sprendimais</w:t>
      </w:r>
      <w:r w:rsidRPr="00994A68">
        <w:rPr>
          <w:b/>
          <w:bCs/>
          <w:sz w:val="24"/>
          <w:szCs w:val="24"/>
          <w:lang w:val="lt-LT"/>
        </w:rPr>
        <w:t xml:space="preserve"> </w:t>
      </w:r>
      <w:r w:rsidRPr="00994A68">
        <w:rPr>
          <w:bCs/>
          <w:sz w:val="24"/>
          <w:szCs w:val="24"/>
          <w:lang w:val="lt-LT"/>
        </w:rPr>
        <w:t>dėl konkrečios bendrovės akcijų valdytojas (Savivaldybės administracijos direktorius) gali suteikti įgaliojimus</w:t>
      </w:r>
      <w:r w:rsidRPr="00994A68">
        <w:rPr>
          <w:sz w:val="24"/>
          <w:szCs w:val="24"/>
          <w:lang w:val="lt-LT"/>
        </w:rPr>
        <w:t xml:space="preserve"> balsuoti už</w:t>
      </w:r>
      <w:r w:rsidRPr="00994A68">
        <w:rPr>
          <w:b/>
          <w:sz w:val="24"/>
          <w:szCs w:val="24"/>
          <w:lang w:val="lt-LT"/>
        </w:rPr>
        <w:t xml:space="preserve"> </w:t>
      </w:r>
      <w:r w:rsidRPr="00994A68">
        <w:rPr>
          <w:sz w:val="24"/>
          <w:szCs w:val="24"/>
          <w:lang w:val="lt-LT"/>
        </w:rPr>
        <w:t>bendrovės įstatinio kapitalo didinimą</w:t>
      </w:r>
      <w:r w:rsidRPr="00994A68">
        <w:rPr>
          <w:b/>
          <w:sz w:val="24"/>
          <w:szCs w:val="24"/>
          <w:lang w:val="lt-LT"/>
        </w:rPr>
        <w:t xml:space="preserve"> </w:t>
      </w:r>
      <w:r w:rsidRPr="00994A68">
        <w:rPr>
          <w:sz w:val="24"/>
          <w:szCs w:val="24"/>
          <w:lang w:val="lt-LT"/>
        </w:rPr>
        <w:t xml:space="preserve">papildomais įnašais, kai savivaldybei nuosavybės teise priklauso akcijos, teikiančios daugiau kaip 1/2 visų balsų. </w:t>
      </w:r>
      <w:r w:rsidRPr="00B01305">
        <w:rPr>
          <w:sz w:val="24"/>
          <w:szCs w:val="24"/>
          <w:lang w:val="lt-LT"/>
        </w:rPr>
        <w:t xml:space="preserve">Savivaldybei priklauso </w:t>
      </w:r>
      <w:r>
        <w:rPr>
          <w:sz w:val="24"/>
          <w:szCs w:val="24"/>
          <w:lang w:val="lt-LT"/>
        </w:rPr>
        <w:t xml:space="preserve">92,94 </w:t>
      </w:r>
      <w:r w:rsidRPr="00B01305">
        <w:rPr>
          <w:sz w:val="24"/>
          <w:szCs w:val="24"/>
          <w:lang w:val="lt-LT"/>
        </w:rPr>
        <w:t>proc. AB „Klaipėdos vanduo“  akcijų,</w:t>
      </w:r>
      <w:r w:rsidRPr="00994A68">
        <w:t xml:space="preserve"> </w:t>
      </w:r>
      <w:r w:rsidRPr="00B01305">
        <w:rPr>
          <w:sz w:val="24"/>
          <w:lang w:val="lt-LT"/>
        </w:rPr>
        <w:t>todėl</w:t>
      </w:r>
      <w:r w:rsidRPr="00B01305">
        <w:rPr>
          <w:sz w:val="24"/>
        </w:rPr>
        <w:t xml:space="preserve"> į</w:t>
      </w:r>
      <w:r w:rsidRPr="00B01305">
        <w:rPr>
          <w:sz w:val="24"/>
          <w:szCs w:val="24"/>
          <w:lang w:val="lt-LT"/>
        </w:rPr>
        <w:t>gyvendinant</w:t>
      </w:r>
      <w:r w:rsidRPr="00994A68">
        <w:rPr>
          <w:sz w:val="24"/>
          <w:szCs w:val="24"/>
          <w:lang w:val="lt-LT"/>
        </w:rPr>
        <w:t xml:space="preserve"> minėtą nutarimą, Savivaldybės administracijos direktoriui pavedama įgalioti savo atstovą AB „Klaipėdos</w:t>
      </w:r>
      <w:r>
        <w:rPr>
          <w:sz w:val="24"/>
          <w:szCs w:val="24"/>
          <w:lang w:val="lt-LT"/>
        </w:rPr>
        <w:t xml:space="preserve"> vanduo</w:t>
      </w:r>
      <w:r w:rsidRPr="00994A68">
        <w:rPr>
          <w:sz w:val="24"/>
          <w:szCs w:val="24"/>
          <w:lang w:val="lt-LT"/>
        </w:rPr>
        <w:t xml:space="preserve">“ visuotiniame akcininkų susirinkime balsuoti už įstatinio kapitalo padidinimą </w:t>
      </w:r>
      <w:r>
        <w:rPr>
          <w:sz w:val="24"/>
          <w:szCs w:val="24"/>
          <w:lang w:val="lt-LT"/>
        </w:rPr>
        <w:t>3585700</w:t>
      </w:r>
      <w:r w:rsidRPr="00994A68">
        <w:rPr>
          <w:sz w:val="24"/>
          <w:szCs w:val="24"/>
          <w:lang w:val="lt-LT"/>
        </w:rPr>
        <w:t xml:space="preserve"> Lt papildomais įnašais, išleidžiant 10</w:t>
      </w:r>
      <w:r>
        <w:rPr>
          <w:sz w:val="24"/>
          <w:szCs w:val="24"/>
          <w:lang w:val="lt-LT"/>
        </w:rPr>
        <w:t>0</w:t>
      </w:r>
      <w:r w:rsidRPr="00994A68">
        <w:rPr>
          <w:sz w:val="24"/>
          <w:szCs w:val="24"/>
          <w:lang w:val="lt-LT"/>
        </w:rPr>
        <w:t xml:space="preserve"> lito nominalios vertės </w:t>
      </w:r>
      <w:r>
        <w:rPr>
          <w:sz w:val="24"/>
          <w:szCs w:val="24"/>
          <w:lang w:val="lt-LT"/>
        </w:rPr>
        <w:t>35857</w:t>
      </w:r>
      <w:r w:rsidRPr="00994A68">
        <w:rPr>
          <w:sz w:val="24"/>
          <w:szCs w:val="24"/>
          <w:lang w:val="lt-LT"/>
        </w:rPr>
        <w:t xml:space="preserve"> vnt.</w:t>
      </w:r>
      <w:r w:rsidRPr="00994A68">
        <w:rPr>
          <w:color w:val="000000"/>
          <w:spacing w:val="-3"/>
          <w:sz w:val="24"/>
          <w:szCs w:val="24"/>
          <w:lang w:val="lt-LT"/>
        </w:rPr>
        <w:t xml:space="preserve"> paprastųjų vardinių akcijų,</w:t>
      </w:r>
      <w:r w:rsidRPr="00994A68">
        <w:rPr>
          <w:sz w:val="24"/>
          <w:szCs w:val="24"/>
          <w:lang w:val="lt-LT"/>
        </w:rPr>
        <w:t xml:space="preserve"> nustatant, kad akcijų emisijos kaina lygi jų nominaliai vertei</w:t>
      </w:r>
      <w:r w:rsidRPr="00994A68">
        <w:rPr>
          <w:color w:val="000000"/>
          <w:spacing w:val="-3"/>
          <w:sz w:val="24"/>
          <w:szCs w:val="24"/>
          <w:lang w:val="lt-LT"/>
        </w:rPr>
        <w:t xml:space="preserve">. </w:t>
      </w:r>
    </w:p>
    <w:p w:rsidR="00F9272F" w:rsidRDefault="00F9272F" w:rsidP="007846C2">
      <w:pPr>
        <w:pStyle w:val="BodyText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994A68">
        <w:rPr>
          <w:b/>
          <w:szCs w:val="24"/>
        </w:rPr>
        <w:t>Kokių rezultatų laukiama.</w:t>
      </w:r>
      <w:r w:rsidRPr="00994A68">
        <w:rPr>
          <w:szCs w:val="24"/>
        </w:rPr>
        <w:t xml:space="preserve"> </w:t>
      </w:r>
      <w:r>
        <w:rPr>
          <w:szCs w:val="24"/>
        </w:rPr>
        <w:t>Viešojo vandens tiekimo ir nuotekų tvarkymo infrastruktūra bus naudojama ir jos priežiūra atliekama vadovaujantis teisės aktų nustatytais reikalavimais.</w:t>
      </w:r>
    </w:p>
    <w:p w:rsidR="00F9272F" w:rsidRPr="00994A68" w:rsidRDefault="00F9272F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</w:rPr>
        <w:t>Sprendimo projekto rengimo metu gauti specialistų vertinimai.</w:t>
      </w:r>
      <w:r w:rsidRPr="00994A68">
        <w:t xml:space="preserve"> Negauta.</w:t>
      </w:r>
    </w:p>
    <w:p w:rsidR="00F9272F" w:rsidRDefault="00F9272F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</w:rPr>
        <w:t>Išlaidų sąmatos, skaičiavimai, reikalingi pagrindimai ir paaiškinimai.</w:t>
      </w:r>
      <w:r w:rsidRPr="00994A68">
        <w:t xml:space="preserve"> </w:t>
      </w:r>
    </w:p>
    <w:p w:rsidR="00F9272F" w:rsidRPr="00DE3A85" w:rsidRDefault="00F9272F" w:rsidP="00C103D6">
      <w:pPr>
        <w:ind w:firstLine="720"/>
        <w:jc w:val="both"/>
        <w:rPr>
          <w:sz w:val="24"/>
          <w:szCs w:val="24"/>
          <w:lang w:val="lt-LT"/>
        </w:rPr>
      </w:pPr>
      <w:r w:rsidRPr="00DE3A85">
        <w:rPr>
          <w:sz w:val="24"/>
          <w:szCs w:val="24"/>
          <w:lang w:val="lt-LT"/>
        </w:rPr>
        <w:t>AB „Klaipėdos vanduo“  įstatinio kapitalo dydis 181944500 Lt</w:t>
      </w:r>
      <w:r>
        <w:rPr>
          <w:sz w:val="24"/>
          <w:szCs w:val="24"/>
          <w:lang w:val="lt-LT"/>
        </w:rPr>
        <w:t>,</w:t>
      </w:r>
      <w:r w:rsidRPr="00DE3A85">
        <w:rPr>
          <w:sz w:val="24"/>
          <w:szCs w:val="24"/>
          <w:lang w:val="lt-LT"/>
        </w:rPr>
        <w:t xml:space="preserve">  bendrovės akcininkai: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56"/>
        <w:gridCol w:w="1642"/>
        <w:gridCol w:w="1642"/>
        <w:gridCol w:w="1643"/>
        <w:gridCol w:w="1643"/>
      </w:tblGrid>
      <w:tr w:rsidR="00F9272F" w:rsidRPr="00DE3A85" w:rsidTr="003F4DCE">
        <w:tc>
          <w:tcPr>
            <w:tcW w:w="828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456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Akcininkas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Akcijų skaičius vnt. prieš kapitalo padidinimą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Akcijų dalis proc. prieš kapitalo padidinimą</w:t>
            </w: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Akcijų skaičius vnt. po kapitalo padidinimo</w:t>
            </w: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Akcijų dalis proc. po kapitalo padidinimo</w:t>
            </w:r>
          </w:p>
        </w:tc>
      </w:tr>
      <w:tr w:rsidR="00F9272F" w:rsidRPr="00DE3A85" w:rsidTr="003F4DCE">
        <w:tc>
          <w:tcPr>
            <w:tcW w:w="828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456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Klaipėdos miesto savivaldybė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</w:rPr>
              <w:t>1691065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92,94</w:t>
            </w: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1691065</w:t>
            </w: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91,15</w:t>
            </w:r>
          </w:p>
        </w:tc>
      </w:tr>
      <w:tr w:rsidR="00F9272F" w:rsidRPr="00DE3A85" w:rsidTr="003F4DCE">
        <w:tc>
          <w:tcPr>
            <w:tcW w:w="828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456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Klaipėdos rajono savivaldybė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108700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5,98</w:t>
            </w:r>
          </w:p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144557</w:t>
            </w: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7,79</w:t>
            </w:r>
          </w:p>
        </w:tc>
      </w:tr>
      <w:tr w:rsidR="00F9272F" w:rsidRPr="00DE3A85" w:rsidTr="003F4DCE">
        <w:tc>
          <w:tcPr>
            <w:tcW w:w="828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456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Neringos savivaldybė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19680</w:t>
            </w:r>
          </w:p>
        </w:tc>
        <w:tc>
          <w:tcPr>
            <w:tcW w:w="1642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1,08</w:t>
            </w: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19680</w:t>
            </w:r>
          </w:p>
        </w:tc>
        <w:tc>
          <w:tcPr>
            <w:tcW w:w="1643" w:type="dxa"/>
          </w:tcPr>
          <w:p w:rsidR="00F9272F" w:rsidRPr="003F4DCE" w:rsidRDefault="00F9272F" w:rsidP="003F4DCE">
            <w:pPr>
              <w:jc w:val="both"/>
              <w:rPr>
                <w:sz w:val="24"/>
                <w:szCs w:val="24"/>
                <w:lang w:val="lt-LT"/>
              </w:rPr>
            </w:pPr>
            <w:r w:rsidRPr="003F4DCE">
              <w:rPr>
                <w:sz w:val="24"/>
                <w:szCs w:val="24"/>
                <w:lang w:val="lt-LT"/>
              </w:rPr>
              <w:t>1,06</w:t>
            </w:r>
          </w:p>
        </w:tc>
      </w:tr>
    </w:tbl>
    <w:p w:rsidR="00F9272F" w:rsidRPr="00994A68" w:rsidRDefault="00F9272F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</w:rPr>
        <w:t>Lėšų poreikis sprendimo įgyvendinimui.</w:t>
      </w:r>
      <w:r w:rsidRPr="00994A68">
        <w:t xml:space="preserve"> Sprendimo įgyvendinimui, Savivaldybės biudžeto lėšos nenumatomos.</w:t>
      </w:r>
    </w:p>
    <w:p w:rsidR="00F9272F" w:rsidRPr="00EA7FEF" w:rsidRDefault="00F9272F" w:rsidP="00EA7FEF">
      <w:pPr>
        <w:pStyle w:val="BodyText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994A68">
        <w:rPr>
          <w:b/>
        </w:rPr>
        <w:t>Galimos teigiamos ar neigiamos sprendimo priėmimo pasekmės.</w:t>
      </w:r>
      <w:r w:rsidRPr="00994A68">
        <w:t xml:space="preserve"> </w:t>
      </w:r>
      <w:r>
        <w:t>Teigiamos sprendimo pasekmės – v</w:t>
      </w:r>
      <w:r>
        <w:rPr>
          <w:szCs w:val="24"/>
        </w:rPr>
        <w:t>iešojo vandens tiekimo ir nuotekų tvarkymo infrastruktūra bus naudojama ir jos priežiūra atliekama vadovaujantis teisės aktų nustatytais reikalavimais.</w:t>
      </w:r>
      <w:r w:rsidRPr="00994A68">
        <w:t xml:space="preserve"> Neigiam</w:t>
      </w:r>
      <w:r>
        <w:t>os</w:t>
      </w:r>
      <w:r w:rsidRPr="00994A68">
        <w:t xml:space="preserve"> pasekm</w:t>
      </w:r>
      <w:r>
        <w:t>ės – nėra.</w:t>
      </w:r>
    </w:p>
    <w:p w:rsidR="00F9272F" w:rsidRDefault="00F9272F" w:rsidP="007846C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F9272F" w:rsidRPr="00994A68" w:rsidRDefault="00F9272F" w:rsidP="007846C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F9272F" w:rsidRPr="00004751" w:rsidRDefault="00F9272F" w:rsidP="000047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Turto skyriaus vedėja</w:t>
      </w:r>
      <w:r w:rsidRPr="00994A68">
        <w:rPr>
          <w:sz w:val="24"/>
          <w:szCs w:val="24"/>
          <w:lang w:val="lt-LT"/>
        </w:rPr>
        <w:tab/>
      </w:r>
      <w:r w:rsidRPr="00994A68">
        <w:rPr>
          <w:sz w:val="24"/>
          <w:szCs w:val="24"/>
          <w:lang w:val="lt-LT"/>
        </w:rPr>
        <w:tab/>
        <w:t xml:space="preserve">       </w:t>
      </w:r>
      <w:r>
        <w:rPr>
          <w:sz w:val="24"/>
          <w:szCs w:val="24"/>
          <w:lang w:val="lt-LT"/>
        </w:rPr>
        <w:tab/>
      </w:r>
      <w:r w:rsidRPr="00994A68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</w:t>
      </w:r>
      <w:r>
        <w:rPr>
          <w:sz w:val="24"/>
          <w:szCs w:val="24"/>
          <w:lang w:val="lt-LT"/>
        </w:rPr>
        <w:tab/>
      </w:r>
      <w:bookmarkStart w:id="0" w:name="_GoBack"/>
      <w:bookmarkEnd w:id="0"/>
      <w:r>
        <w:rPr>
          <w:sz w:val="24"/>
          <w:szCs w:val="24"/>
          <w:lang w:val="lt-LT"/>
        </w:rPr>
        <w:t xml:space="preserve">    </w:t>
      </w:r>
      <w:r w:rsidRPr="00994A68">
        <w:rPr>
          <w:sz w:val="24"/>
          <w:szCs w:val="24"/>
          <w:lang w:val="lt-LT"/>
        </w:rPr>
        <w:t xml:space="preserve">     </w:t>
      </w:r>
      <w:r>
        <w:rPr>
          <w:sz w:val="24"/>
          <w:szCs w:val="24"/>
          <w:lang w:val="lt-LT"/>
        </w:rPr>
        <w:t>Genovaitė Paulikienė</w:t>
      </w:r>
    </w:p>
    <w:sectPr w:rsidR="00F9272F" w:rsidRPr="00004751" w:rsidSect="000C1638">
      <w:pgSz w:w="11906" w:h="16838"/>
      <w:pgMar w:top="1134" w:right="567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C2"/>
    <w:rsid w:val="00004751"/>
    <w:rsid w:val="000C1638"/>
    <w:rsid w:val="001052E3"/>
    <w:rsid w:val="001456BB"/>
    <w:rsid w:val="00160D94"/>
    <w:rsid w:val="001B1404"/>
    <w:rsid w:val="00252174"/>
    <w:rsid w:val="003F4DCE"/>
    <w:rsid w:val="00522DB3"/>
    <w:rsid w:val="00580449"/>
    <w:rsid w:val="0059013E"/>
    <w:rsid w:val="00647D85"/>
    <w:rsid w:val="006A5318"/>
    <w:rsid w:val="007846C2"/>
    <w:rsid w:val="00856BA8"/>
    <w:rsid w:val="00994A68"/>
    <w:rsid w:val="00B01305"/>
    <w:rsid w:val="00B11956"/>
    <w:rsid w:val="00C103D6"/>
    <w:rsid w:val="00CD2010"/>
    <w:rsid w:val="00D93058"/>
    <w:rsid w:val="00DE3A85"/>
    <w:rsid w:val="00EA4269"/>
    <w:rsid w:val="00EA7FEF"/>
    <w:rsid w:val="00EF3A63"/>
    <w:rsid w:val="00F760AC"/>
    <w:rsid w:val="00F9272F"/>
    <w:rsid w:val="00FB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C2"/>
    <w:rPr>
      <w:rFonts w:ascii="Times New Roman" w:eastAsia="Times New Roman" w:hAnsi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46C2"/>
    <w:rPr>
      <w:rFonts w:ascii="Times New Roman" w:hAnsi="Times New Roman" w:cs="Times New Roman"/>
      <w:b/>
      <w:sz w:val="20"/>
      <w:szCs w:val="20"/>
      <w:lang w:val="en-US" w:eastAsia="lt-LT"/>
    </w:rPr>
  </w:style>
  <w:style w:type="character" w:styleId="Hyperlink">
    <w:name w:val="Hyperlink"/>
    <w:basedOn w:val="DefaultParagraphFont"/>
    <w:uiPriority w:val="99"/>
    <w:rsid w:val="007846C2"/>
    <w:rPr>
      <w:rFonts w:cs="Times New Roman"/>
      <w:color w:val="000000"/>
      <w:u w:val="single"/>
    </w:rPr>
  </w:style>
  <w:style w:type="paragraph" w:styleId="BodyText">
    <w:name w:val="Body Text"/>
    <w:basedOn w:val="Normal"/>
    <w:link w:val="BodyTextChar"/>
    <w:uiPriority w:val="99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46C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style36"/>
    <w:basedOn w:val="DefaultParagraphFont"/>
    <w:uiPriority w:val="99"/>
    <w:rsid w:val="007846C2"/>
    <w:rPr>
      <w:rFonts w:cs="Times New Roman"/>
    </w:rPr>
  </w:style>
  <w:style w:type="table" w:styleId="TableGrid">
    <w:name w:val="Table Grid"/>
    <w:basedOn w:val="TableNormal"/>
    <w:uiPriority w:val="99"/>
    <w:rsid w:val="00C103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2544</Words>
  <Characters>1451</Characters>
  <Application>Microsoft Office Outlook</Application>
  <DocSecurity>0</DocSecurity>
  <Lines>0</Lines>
  <Paragraphs>0</Paragraphs>
  <ScaleCrop>false</ScaleCrop>
  <Company>Klaipedos m. sav. administracija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Milda Petrauskaite</dc:creator>
  <cp:keywords/>
  <dc:description/>
  <cp:lastModifiedBy>V.Palaimiene</cp:lastModifiedBy>
  <cp:revision>2</cp:revision>
  <cp:lastPrinted>2013-04-19T10:35:00Z</cp:lastPrinted>
  <dcterms:created xsi:type="dcterms:W3CDTF">2013-04-22T11:40:00Z</dcterms:created>
  <dcterms:modified xsi:type="dcterms:W3CDTF">2013-04-22T11:40:00Z</dcterms:modified>
</cp:coreProperties>
</file>