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60" w:rsidRPr="0006450B" w:rsidRDefault="00535B60" w:rsidP="00A80E1E">
      <w:pPr>
        <w:spacing w:line="360" w:lineRule="auto"/>
        <w:jc w:val="center"/>
        <w:rPr>
          <w:sz w:val="28"/>
          <w:szCs w:val="28"/>
        </w:rPr>
      </w:pPr>
      <w:r w:rsidRPr="0006450B">
        <w:rPr>
          <w:sz w:val="28"/>
          <w:szCs w:val="28"/>
        </w:rPr>
        <w:t>Biudžetinių ir viešųjų įstaigų vadovų veiklos ataskaita</w:t>
      </w:r>
    </w:p>
    <w:p w:rsidR="00535B60" w:rsidRPr="0006450B" w:rsidRDefault="00535B60" w:rsidP="00A80E1E">
      <w:pPr>
        <w:spacing w:line="360" w:lineRule="auto"/>
        <w:jc w:val="both"/>
        <w:rPr>
          <w:b/>
        </w:rPr>
      </w:pPr>
    </w:p>
    <w:p w:rsidR="00535B60" w:rsidRPr="0006450B" w:rsidRDefault="00535B60" w:rsidP="00A80E1E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06450B">
        <w:rPr>
          <w:b/>
        </w:rPr>
        <w:t>Įstaigos pristatymas.</w:t>
      </w:r>
    </w:p>
    <w:p w:rsidR="00535B60" w:rsidRPr="0006450B" w:rsidRDefault="00535B60" w:rsidP="00A80E1E">
      <w:pPr>
        <w:spacing w:line="360" w:lineRule="auto"/>
        <w:jc w:val="both"/>
      </w:pPr>
      <w:r w:rsidRPr="0006450B">
        <w:rPr>
          <w:b/>
        </w:rPr>
        <w:t xml:space="preserve">      </w:t>
      </w:r>
      <w:r w:rsidRPr="0006450B">
        <w:t>1.1</w:t>
      </w:r>
      <w:r w:rsidRPr="0006450B">
        <w:rPr>
          <w:b/>
        </w:rPr>
        <w:t xml:space="preserve">. </w:t>
      </w:r>
      <w:r w:rsidRPr="0006450B">
        <w:t>Biudžetinė įstaiga Klaipėdos sutrikusio vystymosi kūdikių namai, Turistų g. 18, Klaipėda,  (8 46) 49 01 90, kudikiu-namai</w:t>
      </w:r>
      <w:r w:rsidRPr="00D17CA7">
        <w:t>@</w:t>
      </w:r>
      <w:r w:rsidRPr="0006450B">
        <w:t xml:space="preserve">mail.lt </w:t>
      </w:r>
    </w:p>
    <w:p w:rsidR="00535B60" w:rsidRPr="0006450B" w:rsidRDefault="00535B60" w:rsidP="00A80E1E">
      <w:pPr>
        <w:spacing w:line="360" w:lineRule="auto"/>
        <w:ind w:left="360"/>
        <w:jc w:val="both"/>
      </w:pPr>
      <w:r w:rsidRPr="0006450B">
        <w:t xml:space="preserve">1.2. Įstaigos vadovas – </w:t>
      </w:r>
      <w:r>
        <w:t>nuo 2012 m. sausio 1 d. vadovo pareigas laikinai ėjo pavaduotoja ūkiui Jūratė Girčienė, nuo 2012 m. lapkričio 2 d. įstaigai vadovauja direktorė Aušra Nikolajevienė.</w:t>
      </w: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440"/>
        <w:gridCol w:w="1980"/>
        <w:gridCol w:w="4320"/>
      </w:tblGrid>
      <w:tr w:rsidR="00535B60" w:rsidRPr="0006450B" w:rsidTr="00DE50CF">
        <w:tc>
          <w:tcPr>
            <w:tcW w:w="9540" w:type="dxa"/>
            <w:gridSpan w:val="4"/>
          </w:tcPr>
          <w:p w:rsidR="00535B60" w:rsidRPr="0006450B" w:rsidRDefault="00535B60" w:rsidP="00A80E1E">
            <w:pPr>
              <w:tabs>
                <w:tab w:val="left" w:pos="3840"/>
              </w:tabs>
              <w:jc w:val="both"/>
            </w:pPr>
            <w:r w:rsidRPr="0006450B">
              <w:t xml:space="preserve">      1.3. Darbuotojų skaičius </w:t>
            </w:r>
          </w:p>
        </w:tc>
      </w:tr>
      <w:tr w:rsidR="00535B60" w:rsidRPr="0006450B" w:rsidTr="00DE50CF">
        <w:tc>
          <w:tcPr>
            <w:tcW w:w="1800" w:type="dxa"/>
          </w:tcPr>
          <w:p w:rsidR="00535B60" w:rsidRPr="0006450B" w:rsidRDefault="00535B60" w:rsidP="00A80E1E">
            <w:pPr>
              <w:jc w:val="both"/>
            </w:pPr>
            <w:r w:rsidRPr="0006450B">
              <w:t>Administracijos darbuotojai</w:t>
            </w:r>
          </w:p>
        </w:tc>
        <w:tc>
          <w:tcPr>
            <w:tcW w:w="1440" w:type="dxa"/>
            <w:tcBorders>
              <w:top w:val="nil"/>
            </w:tcBorders>
          </w:tcPr>
          <w:p w:rsidR="00535B60" w:rsidRPr="0006450B" w:rsidRDefault="00535B60" w:rsidP="00A80E1E">
            <w:pPr>
              <w:jc w:val="both"/>
            </w:pPr>
            <w:r w:rsidRPr="0006450B">
              <w:t>Specialistai</w:t>
            </w:r>
          </w:p>
        </w:tc>
        <w:tc>
          <w:tcPr>
            <w:tcW w:w="1980" w:type="dxa"/>
            <w:tcBorders>
              <w:top w:val="nil"/>
            </w:tcBorders>
          </w:tcPr>
          <w:p w:rsidR="00535B60" w:rsidRPr="0006450B" w:rsidRDefault="00535B60" w:rsidP="00A80E1E">
            <w:pPr>
              <w:jc w:val="both"/>
            </w:pPr>
            <w:r w:rsidRPr="0006450B">
              <w:t>Ūkinis techninis personalas</w:t>
            </w:r>
          </w:p>
        </w:tc>
        <w:tc>
          <w:tcPr>
            <w:tcW w:w="4320" w:type="dxa"/>
            <w:tcBorders>
              <w:top w:val="nil"/>
            </w:tcBorders>
          </w:tcPr>
          <w:p w:rsidR="00535B60" w:rsidRPr="0006450B" w:rsidRDefault="00535B60" w:rsidP="00A80E1E">
            <w:pPr>
              <w:jc w:val="both"/>
            </w:pPr>
            <w:r w:rsidRPr="0006450B">
              <w:t xml:space="preserve">Pastabos: nurodykite ar atitinka esamas darbuotojų skaičius miesto tarybos ar vyriausybės patvirtintiems normatyvų reikalavimams. </w:t>
            </w:r>
          </w:p>
        </w:tc>
      </w:tr>
      <w:tr w:rsidR="00535B60" w:rsidRPr="0006450B" w:rsidTr="00DE50CF">
        <w:tc>
          <w:tcPr>
            <w:tcW w:w="1800" w:type="dxa"/>
          </w:tcPr>
          <w:p w:rsidR="00535B60" w:rsidRPr="0006450B" w:rsidRDefault="00535B60" w:rsidP="002B1C66">
            <w:pPr>
              <w:jc w:val="center"/>
            </w:pPr>
            <w:r w:rsidRPr="0006450B">
              <w:t>3</w:t>
            </w:r>
          </w:p>
        </w:tc>
        <w:tc>
          <w:tcPr>
            <w:tcW w:w="1440" w:type="dxa"/>
          </w:tcPr>
          <w:p w:rsidR="00535B60" w:rsidRPr="0006450B" w:rsidRDefault="00535B60" w:rsidP="002B1C66">
            <w:pPr>
              <w:jc w:val="center"/>
            </w:pPr>
            <w:r>
              <w:t>61</w:t>
            </w:r>
          </w:p>
        </w:tc>
        <w:tc>
          <w:tcPr>
            <w:tcW w:w="1980" w:type="dxa"/>
          </w:tcPr>
          <w:p w:rsidR="00535B60" w:rsidRPr="0006450B" w:rsidRDefault="00535B60" w:rsidP="002B1C66">
            <w:pPr>
              <w:jc w:val="center"/>
            </w:pPr>
            <w:r>
              <w:t>34</w:t>
            </w:r>
          </w:p>
        </w:tc>
        <w:tc>
          <w:tcPr>
            <w:tcW w:w="4320" w:type="dxa"/>
          </w:tcPr>
          <w:p w:rsidR="00535B60" w:rsidRPr="0006450B" w:rsidRDefault="00535B60" w:rsidP="00A80E1E">
            <w:pPr>
              <w:jc w:val="both"/>
            </w:pPr>
          </w:p>
        </w:tc>
      </w:tr>
    </w:tbl>
    <w:p w:rsidR="00535B60" w:rsidRPr="0006450B" w:rsidRDefault="00535B60" w:rsidP="00A80E1E">
      <w:pPr>
        <w:spacing w:line="360" w:lineRule="auto"/>
        <w:ind w:firstLine="360"/>
        <w:jc w:val="both"/>
      </w:pP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3"/>
        <w:gridCol w:w="3275"/>
        <w:gridCol w:w="3442"/>
      </w:tblGrid>
      <w:tr w:rsidR="00535B60" w:rsidRPr="0006450B" w:rsidTr="00DE50CF">
        <w:tc>
          <w:tcPr>
            <w:tcW w:w="9540" w:type="dxa"/>
            <w:gridSpan w:val="3"/>
          </w:tcPr>
          <w:p w:rsidR="00535B60" w:rsidRPr="0006450B" w:rsidRDefault="00535B60" w:rsidP="00A80E1E">
            <w:pPr>
              <w:jc w:val="both"/>
              <w:rPr>
                <w:lang w:val="es-ES"/>
              </w:rPr>
            </w:pPr>
            <w:r w:rsidRPr="0006450B">
              <w:t xml:space="preserve">       1.4. </w:t>
            </w:r>
            <w:r w:rsidRPr="0006450B">
              <w:rPr>
                <w:lang w:val="es-ES"/>
              </w:rPr>
              <w:t>Naudojamos patalpos</w:t>
            </w:r>
          </w:p>
        </w:tc>
      </w:tr>
      <w:tr w:rsidR="00535B60" w:rsidRPr="0006450B" w:rsidTr="00DE50CF">
        <w:tc>
          <w:tcPr>
            <w:tcW w:w="2823" w:type="dxa"/>
          </w:tcPr>
          <w:p w:rsidR="00535B60" w:rsidRPr="0006450B" w:rsidRDefault="00535B60" w:rsidP="00A80E1E">
            <w:pPr>
              <w:jc w:val="both"/>
              <w:rPr>
                <w:lang w:val="es-ES"/>
              </w:rPr>
            </w:pPr>
            <w:r w:rsidRPr="0006450B">
              <w:rPr>
                <w:lang w:val="es-ES"/>
              </w:rPr>
              <w:t>Pastatai (nurodyti adresus)</w:t>
            </w:r>
          </w:p>
        </w:tc>
        <w:tc>
          <w:tcPr>
            <w:tcW w:w="3275" w:type="dxa"/>
          </w:tcPr>
          <w:p w:rsidR="00535B60" w:rsidRPr="0006450B" w:rsidRDefault="00535B60" w:rsidP="00A80E1E">
            <w:pPr>
              <w:jc w:val="center"/>
              <w:rPr>
                <w:lang w:val="es-ES"/>
              </w:rPr>
            </w:pPr>
            <w:r w:rsidRPr="0006450B">
              <w:rPr>
                <w:lang w:val="es-ES"/>
              </w:rPr>
              <w:t>Plotas</w:t>
            </w:r>
          </w:p>
        </w:tc>
        <w:tc>
          <w:tcPr>
            <w:tcW w:w="3442" w:type="dxa"/>
          </w:tcPr>
          <w:p w:rsidR="00535B60" w:rsidRPr="0006450B" w:rsidRDefault="00535B60" w:rsidP="00A80E1E">
            <w:pPr>
              <w:jc w:val="center"/>
              <w:rPr>
                <w:lang w:val="es-ES"/>
              </w:rPr>
            </w:pPr>
            <w:r w:rsidRPr="0006450B">
              <w:rPr>
                <w:lang w:val="es-ES"/>
              </w:rPr>
              <w:t>Pastabas</w:t>
            </w:r>
          </w:p>
        </w:tc>
      </w:tr>
      <w:tr w:rsidR="00535B60" w:rsidRPr="0006450B" w:rsidTr="00DE50CF">
        <w:tc>
          <w:tcPr>
            <w:tcW w:w="2823" w:type="dxa"/>
          </w:tcPr>
          <w:p w:rsidR="00535B60" w:rsidRPr="0006450B" w:rsidRDefault="00535B60" w:rsidP="00A80E1E">
            <w:pPr>
              <w:jc w:val="both"/>
              <w:rPr>
                <w:lang w:val="es-ES"/>
              </w:rPr>
            </w:pPr>
            <w:r w:rsidRPr="0006450B">
              <w:rPr>
                <w:lang w:val="es-ES"/>
              </w:rPr>
              <w:t>Pagrindinis pastatas</w:t>
            </w:r>
          </w:p>
        </w:tc>
        <w:tc>
          <w:tcPr>
            <w:tcW w:w="3275" w:type="dxa"/>
          </w:tcPr>
          <w:p w:rsidR="00535B60" w:rsidRPr="0006450B" w:rsidRDefault="00535B60" w:rsidP="00A80E1E">
            <w:pPr>
              <w:jc w:val="center"/>
              <w:rPr>
                <w:lang w:val="es-ES"/>
              </w:rPr>
            </w:pPr>
            <w:r w:rsidRPr="0006450B">
              <w:rPr>
                <w:lang w:val="es-ES"/>
              </w:rPr>
              <w:t>1256,39 kv.m</w:t>
            </w:r>
          </w:p>
        </w:tc>
        <w:tc>
          <w:tcPr>
            <w:tcW w:w="3442" w:type="dxa"/>
          </w:tcPr>
          <w:p w:rsidR="00535B60" w:rsidRPr="0006450B" w:rsidRDefault="00535B60" w:rsidP="00A80E1E">
            <w:pPr>
              <w:rPr>
                <w:lang w:val="es-ES"/>
              </w:rPr>
            </w:pPr>
            <w:r w:rsidRPr="0006450B">
              <w:rPr>
                <w:lang w:val="es-ES"/>
              </w:rPr>
              <w:t>Visi pastatai yra Turistų g. 18, Klaipėda</w:t>
            </w:r>
          </w:p>
        </w:tc>
      </w:tr>
      <w:tr w:rsidR="00535B60" w:rsidRPr="0006450B" w:rsidTr="00DE50CF">
        <w:tc>
          <w:tcPr>
            <w:tcW w:w="2823" w:type="dxa"/>
          </w:tcPr>
          <w:p w:rsidR="00535B60" w:rsidRPr="0006450B" w:rsidRDefault="00535B60" w:rsidP="00A80E1E">
            <w:pPr>
              <w:jc w:val="both"/>
              <w:rPr>
                <w:lang w:val="es-ES"/>
              </w:rPr>
            </w:pPr>
            <w:r w:rsidRPr="0006450B">
              <w:rPr>
                <w:lang w:val="es-ES"/>
              </w:rPr>
              <w:t>Skalbyklos pastatas</w:t>
            </w:r>
          </w:p>
        </w:tc>
        <w:tc>
          <w:tcPr>
            <w:tcW w:w="3275" w:type="dxa"/>
          </w:tcPr>
          <w:p w:rsidR="00535B60" w:rsidRPr="0006450B" w:rsidRDefault="00535B60" w:rsidP="00A80E1E">
            <w:pPr>
              <w:jc w:val="center"/>
              <w:rPr>
                <w:lang w:val="es-ES"/>
              </w:rPr>
            </w:pPr>
            <w:r w:rsidRPr="0006450B">
              <w:rPr>
                <w:lang w:val="es-ES"/>
              </w:rPr>
              <w:t>182,46 kv.m</w:t>
            </w:r>
          </w:p>
        </w:tc>
        <w:tc>
          <w:tcPr>
            <w:tcW w:w="3442" w:type="dxa"/>
          </w:tcPr>
          <w:p w:rsidR="00535B60" w:rsidRPr="0006450B" w:rsidRDefault="00535B60" w:rsidP="00A80E1E">
            <w:pPr>
              <w:jc w:val="center"/>
              <w:rPr>
                <w:lang w:val="es-ES"/>
              </w:rPr>
            </w:pPr>
          </w:p>
        </w:tc>
      </w:tr>
      <w:tr w:rsidR="00535B60" w:rsidRPr="0006450B" w:rsidTr="00DE50CF">
        <w:tc>
          <w:tcPr>
            <w:tcW w:w="2823" w:type="dxa"/>
          </w:tcPr>
          <w:p w:rsidR="00535B60" w:rsidRPr="0006450B" w:rsidRDefault="00535B60" w:rsidP="00A80E1E">
            <w:pPr>
              <w:jc w:val="both"/>
              <w:rPr>
                <w:lang w:val="es-ES"/>
              </w:rPr>
            </w:pPr>
            <w:r w:rsidRPr="0006450B">
              <w:rPr>
                <w:lang w:val="es-ES"/>
              </w:rPr>
              <w:t>Izoliatoriaus pastatas</w:t>
            </w:r>
          </w:p>
        </w:tc>
        <w:tc>
          <w:tcPr>
            <w:tcW w:w="3275" w:type="dxa"/>
          </w:tcPr>
          <w:p w:rsidR="00535B60" w:rsidRPr="0006450B" w:rsidRDefault="00535B60" w:rsidP="00A80E1E">
            <w:pPr>
              <w:jc w:val="center"/>
              <w:rPr>
                <w:lang w:val="es-ES"/>
              </w:rPr>
            </w:pPr>
            <w:r w:rsidRPr="0006450B">
              <w:rPr>
                <w:lang w:val="es-ES"/>
              </w:rPr>
              <w:t>227,98 kv.m</w:t>
            </w:r>
          </w:p>
        </w:tc>
        <w:tc>
          <w:tcPr>
            <w:tcW w:w="3442" w:type="dxa"/>
          </w:tcPr>
          <w:p w:rsidR="00535B60" w:rsidRPr="0006450B" w:rsidRDefault="00535B60" w:rsidP="00A80E1E">
            <w:pPr>
              <w:jc w:val="center"/>
              <w:rPr>
                <w:lang w:val="es-ES"/>
              </w:rPr>
            </w:pPr>
          </w:p>
        </w:tc>
      </w:tr>
      <w:tr w:rsidR="00535B60" w:rsidRPr="0006450B" w:rsidTr="00DE50CF">
        <w:tc>
          <w:tcPr>
            <w:tcW w:w="2823" w:type="dxa"/>
          </w:tcPr>
          <w:p w:rsidR="00535B60" w:rsidRPr="0006450B" w:rsidRDefault="00535B60" w:rsidP="00A80E1E">
            <w:pPr>
              <w:jc w:val="both"/>
              <w:rPr>
                <w:lang w:val="es-ES"/>
              </w:rPr>
            </w:pPr>
            <w:r w:rsidRPr="0006450B">
              <w:rPr>
                <w:lang w:val="es-ES"/>
              </w:rPr>
              <w:t>Katilinės pastatas</w:t>
            </w:r>
          </w:p>
        </w:tc>
        <w:tc>
          <w:tcPr>
            <w:tcW w:w="3275" w:type="dxa"/>
          </w:tcPr>
          <w:p w:rsidR="00535B60" w:rsidRPr="0006450B" w:rsidRDefault="00535B60" w:rsidP="00A80E1E">
            <w:pPr>
              <w:jc w:val="center"/>
              <w:rPr>
                <w:lang w:val="es-ES"/>
              </w:rPr>
            </w:pPr>
            <w:r w:rsidRPr="0006450B">
              <w:rPr>
                <w:lang w:val="es-ES"/>
              </w:rPr>
              <w:t>219,62 kv.m</w:t>
            </w:r>
          </w:p>
        </w:tc>
        <w:tc>
          <w:tcPr>
            <w:tcW w:w="3442" w:type="dxa"/>
          </w:tcPr>
          <w:p w:rsidR="00535B60" w:rsidRPr="0006450B" w:rsidRDefault="00535B60" w:rsidP="00A80E1E">
            <w:pPr>
              <w:jc w:val="center"/>
              <w:rPr>
                <w:lang w:val="es-ES"/>
              </w:rPr>
            </w:pPr>
          </w:p>
        </w:tc>
      </w:tr>
      <w:tr w:rsidR="00535B60" w:rsidRPr="0006450B" w:rsidTr="00DE50CF">
        <w:tc>
          <w:tcPr>
            <w:tcW w:w="2823" w:type="dxa"/>
          </w:tcPr>
          <w:p w:rsidR="00535B60" w:rsidRPr="0006450B" w:rsidRDefault="00535B60" w:rsidP="00A80E1E">
            <w:pPr>
              <w:jc w:val="both"/>
              <w:rPr>
                <w:lang w:val="es-ES"/>
              </w:rPr>
            </w:pPr>
            <w:r w:rsidRPr="0006450B">
              <w:rPr>
                <w:lang w:val="es-ES"/>
              </w:rPr>
              <w:t>Dirbtuvių pastatas</w:t>
            </w:r>
          </w:p>
        </w:tc>
        <w:tc>
          <w:tcPr>
            <w:tcW w:w="3275" w:type="dxa"/>
          </w:tcPr>
          <w:p w:rsidR="00535B60" w:rsidRPr="0006450B" w:rsidRDefault="00535B60" w:rsidP="00A80E1E">
            <w:pPr>
              <w:jc w:val="center"/>
              <w:rPr>
                <w:lang w:val="es-ES"/>
              </w:rPr>
            </w:pPr>
            <w:r w:rsidRPr="0006450B">
              <w:rPr>
                <w:lang w:val="es-ES"/>
              </w:rPr>
              <w:t>98,34 kv.m</w:t>
            </w:r>
          </w:p>
        </w:tc>
        <w:tc>
          <w:tcPr>
            <w:tcW w:w="3442" w:type="dxa"/>
          </w:tcPr>
          <w:p w:rsidR="00535B60" w:rsidRPr="0006450B" w:rsidRDefault="00535B60" w:rsidP="00A80E1E">
            <w:pPr>
              <w:jc w:val="center"/>
              <w:rPr>
                <w:lang w:val="es-ES"/>
              </w:rPr>
            </w:pPr>
          </w:p>
        </w:tc>
      </w:tr>
      <w:tr w:rsidR="00535B60" w:rsidRPr="0006450B" w:rsidTr="00DE50CF">
        <w:tc>
          <w:tcPr>
            <w:tcW w:w="2823" w:type="dxa"/>
          </w:tcPr>
          <w:p w:rsidR="00535B60" w:rsidRPr="0006450B" w:rsidRDefault="00535B60" w:rsidP="00A80E1E">
            <w:pPr>
              <w:jc w:val="both"/>
              <w:rPr>
                <w:lang w:val="es-ES"/>
              </w:rPr>
            </w:pPr>
            <w:r w:rsidRPr="0006450B">
              <w:rPr>
                <w:lang w:val="es-ES"/>
              </w:rPr>
              <w:t>Kiemo rūsys</w:t>
            </w:r>
          </w:p>
        </w:tc>
        <w:tc>
          <w:tcPr>
            <w:tcW w:w="3275" w:type="dxa"/>
          </w:tcPr>
          <w:p w:rsidR="00535B60" w:rsidRPr="0006450B" w:rsidRDefault="00535B60" w:rsidP="00A80E1E">
            <w:pPr>
              <w:jc w:val="center"/>
              <w:rPr>
                <w:lang w:val="es-ES"/>
              </w:rPr>
            </w:pPr>
            <w:r w:rsidRPr="0006450B">
              <w:rPr>
                <w:lang w:val="es-ES"/>
              </w:rPr>
              <w:t>25,58 kv.m</w:t>
            </w:r>
          </w:p>
        </w:tc>
        <w:tc>
          <w:tcPr>
            <w:tcW w:w="3442" w:type="dxa"/>
          </w:tcPr>
          <w:p w:rsidR="00535B60" w:rsidRPr="0006450B" w:rsidRDefault="00535B60" w:rsidP="00A80E1E">
            <w:pPr>
              <w:jc w:val="center"/>
              <w:rPr>
                <w:lang w:val="es-ES"/>
              </w:rPr>
            </w:pPr>
          </w:p>
        </w:tc>
      </w:tr>
    </w:tbl>
    <w:p w:rsidR="00535B60" w:rsidRPr="0006450B" w:rsidRDefault="00535B60" w:rsidP="00A80E1E">
      <w:pPr>
        <w:spacing w:line="360" w:lineRule="auto"/>
        <w:jc w:val="both"/>
        <w:rPr>
          <w:lang w:val="es-ES"/>
        </w:rPr>
      </w:pP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2"/>
        <w:gridCol w:w="3272"/>
        <w:gridCol w:w="3426"/>
      </w:tblGrid>
      <w:tr w:rsidR="00535B60" w:rsidRPr="0006450B" w:rsidTr="00DE50CF">
        <w:tc>
          <w:tcPr>
            <w:tcW w:w="9540" w:type="dxa"/>
            <w:gridSpan w:val="3"/>
          </w:tcPr>
          <w:p w:rsidR="00535B60" w:rsidRPr="0006450B" w:rsidRDefault="00535B60" w:rsidP="00A80E1E">
            <w:pPr>
              <w:tabs>
                <w:tab w:val="left" w:pos="3795"/>
              </w:tabs>
              <w:jc w:val="both"/>
            </w:pPr>
            <w:r w:rsidRPr="0006450B">
              <w:t xml:space="preserve">      1.5. Biudžetas</w:t>
            </w:r>
          </w:p>
        </w:tc>
      </w:tr>
      <w:tr w:rsidR="00535B60" w:rsidRPr="0006450B" w:rsidTr="00DE50CF">
        <w:tc>
          <w:tcPr>
            <w:tcW w:w="2842" w:type="dxa"/>
          </w:tcPr>
          <w:p w:rsidR="00535B60" w:rsidRPr="0006450B" w:rsidRDefault="00535B60" w:rsidP="00A80E1E">
            <w:pPr>
              <w:jc w:val="both"/>
            </w:pPr>
            <w:r w:rsidRPr="0006450B">
              <w:t>Skirtos lėšos</w:t>
            </w:r>
          </w:p>
        </w:tc>
        <w:tc>
          <w:tcPr>
            <w:tcW w:w="3272" w:type="dxa"/>
          </w:tcPr>
          <w:p w:rsidR="00535B60" w:rsidRPr="0006450B" w:rsidRDefault="00535B60" w:rsidP="003B0ABC">
            <w:pPr>
              <w:jc w:val="center"/>
            </w:pPr>
            <w:r w:rsidRPr="0006450B">
              <w:t>20</w:t>
            </w:r>
            <w:r>
              <w:t>12</w:t>
            </w:r>
            <w:r w:rsidRPr="0006450B">
              <w:t xml:space="preserve"> m</w:t>
            </w:r>
            <w:r>
              <w:t>.</w:t>
            </w:r>
          </w:p>
        </w:tc>
        <w:tc>
          <w:tcPr>
            <w:tcW w:w="3426" w:type="dxa"/>
          </w:tcPr>
          <w:p w:rsidR="00535B60" w:rsidRPr="0006450B" w:rsidRDefault="00535B60" w:rsidP="003B0ABC">
            <w:pPr>
              <w:jc w:val="center"/>
            </w:pPr>
            <w:r w:rsidRPr="0006450B">
              <w:t>201</w:t>
            </w:r>
            <w:r>
              <w:t xml:space="preserve">1 </w:t>
            </w:r>
            <w:r w:rsidRPr="0006450B">
              <w:t>m</w:t>
            </w:r>
            <w:r>
              <w:t>.</w:t>
            </w:r>
          </w:p>
        </w:tc>
      </w:tr>
      <w:tr w:rsidR="00535B60" w:rsidRPr="0006450B" w:rsidTr="00DE50CF">
        <w:tc>
          <w:tcPr>
            <w:tcW w:w="2842" w:type="dxa"/>
          </w:tcPr>
          <w:p w:rsidR="00535B60" w:rsidRPr="0006450B" w:rsidRDefault="00535B60" w:rsidP="00A80E1E">
            <w:pPr>
              <w:jc w:val="both"/>
            </w:pPr>
            <w:r w:rsidRPr="0006450B">
              <w:t>PSDF</w:t>
            </w:r>
          </w:p>
        </w:tc>
        <w:tc>
          <w:tcPr>
            <w:tcW w:w="3272" w:type="dxa"/>
          </w:tcPr>
          <w:p w:rsidR="00535B60" w:rsidRPr="0006450B" w:rsidRDefault="00535B60" w:rsidP="00A80E1E">
            <w:pPr>
              <w:jc w:val="center"/>
            </w:pPr>
          </w:p>
        </w:tc>
        <w:tc>
          <w:tcPr>
            <w:tcW w:w="3426" w:type="dxa"/>
          </w:tcPr>
          <w:p w:rsidR="00535B60" w:rsidRPr="0006450B" w:rsidRDefault="00535B60" w:rsidP="00A80E1E">
            <w:pPr>
              <w:jc w:val="center"/>
            </w:pPr>
          </w:p>
        </w:tc>
      </w:tr>
      <w:tr w:rsidR="00535B60" w:rsidRPr="0006450B" w:rsidTr="00DE50CF">
        <w:tc>
          <w:tcPr>
            <w:tcW w:w="2842" w:type="dxa"/>
          </w:tcPr>
          <w:p w:rsidR="00535B60" w:rsidRPr="0006450B" w:rsidRDefault="00535B60" w:rsidP="00A80E1E">
            <w:pPr>
              <w:jc w:val="both"/>
            </w:pPr>
            <w:r w:rsidRPr="0006450B">
              <w:t xml:space="preserve">Valstybės </w:t>
            </w:r>
          </w:p>
        </w:tc>
        <w:tc>
          <w:tcPr>
            <w:tcW w:w="3272" w:type="dxa"/>
          </w:tcPr>
          <w:p w:rsidR="00535B60" w:rsidRPr="0006450B" w:rsidRDefault="00535B60" w:rsidP="00A80E1E">
            <w:pPr>
              <w:jc w:val="center"/>
            </w:pPr>
            <w:r>
              <w:t xml:space="preserve">  2911,9 tūkst. Lt</w:t>
            </w:r>
          </w:p>
        </w:tc>
        <w:tc>
          <w:tcPr>
            <w:tcW w:w="3426" w:type="dxa"/>
          </w:tcPr>
          <w:p w:rsidR="00535B60" w:rsidRPr="0006450B" w:rsidRDefault="00535B60" w:rsidP="00A80E1E">
            <w:pPr>
              <w:jc w:val="center"/>
            </w:pPr>
            <w:r>
              <w:t>3007,0 tūkst. Lt</w:t>
            </w:r>
          </w:p>
        </w:tc>
      </w:tr>
      <w:tr w:rsidR="00535B60" w:rsidRPr="0006450B" w:rsidTr="00DE50CF">
        <w:tc>
          <w:tcPr>
            <w:tcW w:w="2842" w:type="dxa"/>
          </w:tcPr>
          <w:p w:rsidR="00535B60" w:rsidRPr="0006450B" w:rsidRDefault="00535B60" w:rsidP="00A80E1E">
            <w:pPr>
              <w:jc w:val="both"/>
            </w:pPr>
            <w:r w:rsidRPr="0006450B">
              <w:t xml:space="preserve">Savivaldybės </w:t>
            </w:r>
          </w:p>
        </w:tc>
        <w:tc>
          <w:tcPr>
            <w:tcW w:w="3272" w:type="dxa"/>
          </w:tcPr>
          <w:p w:rsidR="00535B60" w:rsidRPr="0006450B" w:rsidRDefault="00535B60" w:rsidP="00A80E1E">
            <w:pPr>
              <w:jc w:val="center"/>
            </w:pPr>
            <w:r>
              <w:t>12,1</w:t>
            </w:r>
          </w:p>
        </w:tc>
        <w:tc>
          <w:tcPr>
            <w:tcW w:w="3426" w:type="dxa"/>
          </w:tcPr>
          <w:p w:rsidR="00535B60" w:rsidRPr="0006450B" w:rsidRDefault="00535B60" w:rsidP="00A80E1E">
            <w:pPr>
              <w:jc w:val="center"/>
            </w:pPr>
          </w:p>
        </w:tc>
      </w:tr>
      <w:tr w:rsidR="00535B60" w:rsidRPr="0006450B" w:rsidTr="00DE50CF">
        <w:tc>
          <w:tcPr>
            <w:tcW w:w="2842" w:type="dxa"/>
          </w:tcPr>
          <w:p w:rsidR="00535B60" w:rsidRPr="0006450B" w:rsidRDefault="00535B60" w:rsidP="00A80E1E">
            <w:pPr>
              <w:jc w:val="both"/>
            </w:pPr>
            <w:r w:rsidRPr="0006450B">
              <w:t>Gautos už mokamas paslaugas</w:t>
            </w:r>
          </w:p>
        </w:tc>
        <w:tc>
          <w:tcPr>
            <w:tcW w:w="3272" w:type="dxa"/>
          </w:tcPr>
          <w:p w:rsidR="00535B60" w:rsidRPr="0006450B" w:rsidRDefault="00535B60" w:rsidP="00A80E1E">
            <w:pPr>
              <w:jc w:val="center"/>
            </w:pPr>
          </w:p>
        </w:tc>
        <w:tc>
          <w:tcPr>
            <w:tcW w:w="3426" w:type="dxa"/>
          </w:tcPr>
          <w:p w:rsidR="00535B60" w:rsidRPr="0006450B" w:rsidRDefault="00535B60" w:rsidP="00A80E1E">
            <w:pPr>
              <w:jc w:val="center"/>
            </w:pPr>
          </w:p>
        </w:tc>
      </w:tr>
      <w:tr w:rsidR="00535B60" w:rsidRPr="0006450B" w:rsidTr="00DE50CF">
        <w:tc>
          <w:tcPr>
            <w:tcW w:w="2842" w:type="dxa"/>
          </w:tcPr>
          <w:p w:rsidR="00535B60" w:rsidRPr="0006450B" w:rsidRDefault="00535B60" w:rsidP="00A80E1E">
            <w:pPr>
              <w:jc w:val="both"/>
            </w:pPr>
            <w:r w:rsidRPr="0006450B">
              <w:t>Patalpų nuoma</w:t>
            </w:r>
          </w:p>
        </w:tc>
        <w:tc>
          <w:tcPr>
            <w:tcW w:w="3272" w:type="dxa"/>
          </w:tcPr>
          <w:p w:rsidR="00535B60" w:rsidRPr="0006450B" w:rsidRDefault="00535B60" w:rsidP="00A80E1E">
            <w:pPr>
              <w:jc w:val="center"/>
            </w:pPr>
          </w:p>
        </w:tc>
        <w:tc>
          <w:tcPr>
            <w:tcW w:w="3426" w:type="dxa"/>
          </w:tcPr>
          <w:p w:rsidR="00535B60" w:rsidRPr="0006450B" w:rsidRDefault="00535B60" w:rsidP="00A80E1E">
            <w:pPr>
              <w:jc w:val="center"/>
            </w:pPr>
          </w:p>
        </w:tc>
      </w:tr>
      <w:tr w:rsidR="00535B60" w:rsidRPr="0006450B" w:rsidTr="00DE50CF">
        <w:tc>
          <w:tcPr>
            <w:tcW w:w="2842" w:type="dxa"/>
          </w:tcPr>
          <w:p w:rsidR="00535B60" w:rsidRPr="0006450B" w:rsidRDefault="00535B60" w:rsidP="00A80E1E">
            <w:pPr>
              <w:jc w:val="both"/>
              <w:rPr>
                <w:lang w:val="es-ES"/>
              </w:rPr>
            </w:pPr>
            <w:r w:rsidRPr="0006450B">
              <w:rPr>
                <w:lang w:val="es-ES"/>
              </w:rPr>
              <w:t>Kitos lėšos (labdara, parama, fondai)</w:t>
            </w:r>
          </w:p>
        </w:tc>
        <w:tc>
          <w:tcPr>
            <w:tcW w:w="3272" w:type="dxa"/>
          </w:tcPr>
          <w:p w:rsidR="00535B60" w:rsidRPr="0006450B" w:rsidRDefault="00535B60" w:rsidP="00A80E1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165,4 tūkst. Lt</w:t>
            </w:r>
          </w:p>
        </w:tc>
        <w:tc>
          <w:tcPr>
            <w:tcW w:w="3426" w:type="dxa"/>
          </w:tcPr>
          <w:p w:rsidR="00535B60" w:rsidRPr="0006450B" w:rsidRDefault="00535B60" w:rsidP="00A80E1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167,7 tūkst. Lt</w:t>
            </w:r>
          </w:p>
        </w:tc>
      </w:tr>
    </w:tbl>
    <w:p w:rsidR="00535B60" w:rsidRPr="0006450B" w:rsidRDefault="00535B60" w:rsidP="00A80E1E">
      <w:pPr>
        <w:spacing w:line="360" w:lineRule="auto"/>
        <w:jc w:val="both"/>
      </w:pPr>
      <w:r>
        <w:rPr>
          <w:lang w:val="es-ES"/>
        </w:rPr>
        <w:t xml:space="preserve">     </w:t>
      </w:r>
      <w:r w:rsidRPr="0006450B">
        <w:rPr>
          <w:b/>
        </w:rPr>
        <w:t xml:space="preserve"> 2. Įstaigos veiklos rezultatai</w:t>
      </w:r>
      <w:r w:rsidRPr="0006450B">
        <w:t xml:space="preserve">. </w:t>
      </w:r>
    </w:p>
    <w:p w:rsidR="00535B60" w:rsidRPr="0006450B" w:rsidRDefault="00535B60" w:rsidP="00A80E1E">
      <w:pPr>
        <w:spacing w:line="360" w:lineRule="auto"/>
        <w:ind w:left="360"/>
        <w:jc w:val="both"/>
        <w:rPr>
          <w:b/>
        </w:rPr>
      </w:pPr>
      <w:r w:rsidRPr="0006450B">
        <w:rPr>
          <w:b/>
        </w:rPr>
        <w:t>2.1. Įstaigos misija</w:t>
      </w:r>
    </w:p>
    <w:p w:rsidR="00535B60" w:rsidRPr="0006450B" w:rsidRDefault="00535B60" w:rsidP="00A80E1E">
      <w:pPr>
        <w:spacing w:line="360" w:lineRule="auto"/>
        <w:jc w:val="both"/>
      </w:pPr>
      <w:r>
        <w:t xml:space="preserve">     </w:t>
      </w:r>
      <w:r w:rsidRPr="0006450B">
        <w:t xml:space="preserve">Užtikrinti Klaipėdos sutrikusio vystymosi kūdikių namuose augantiems vaikams </w:t>
      </w:r>
      <w:r>
        <w:t>geresnę gyvenimo kokybę, siekian</w:t>
      </w:r>
      <w:r w:rsidRPr="0006450B">
        <w:t>t sumažinti socialinę atskirtį.</w:t>
      </w:r>
    </w:p>
    <w:p w:rsidR="00535B60" w:rsidRDefault="00535B60" w:rsidP="00A80E1E">
      <w:pPr>
        <w:spacing w:line="360" w:lineRule="auto"/>
        <w:ind w:firstLine="360"/>
        <w:jc w:val="both"/>
        <w:rPr>
          <w:b/>
          <w:sz w:val="20"/>
        </w:rPr>
      </w:pPr>
      <w:r w:rsidRPr="0006450B">
        <w:rPr>
          <w:b/>
        </w:rPr>
        <w:t>2.2. 201</w:t>
      </w:r>
      <w:r>
        <w:rPr>
          <w:b/>
        </w:rPr>
        <w:t>2</w:t>
      </w:r>
      <w:r w:rsidRPr="0006450B">
        <w:rPr>
          <w:b/>
        </w:rPr>
        <w:t xml:space="preserve"> metų strateginio v</w:t>
      </w:r>
      <w:r>
        <w:rPr>
          <w:b/>
        </w:rPr>
        <w:t>eiklos plano tikslai uždaviniai</w:t>
      </w:r>
      <w:r w:rsidRPr="0006450B">
        <w:rPr>
          <w:b/>
        </w:rPr>
        <w:t>,</w:t>
      </w:r>
      <w:r>
        <w:rPr>
          <w:b/>
        </w:rPr>
        <w:t xml:space="preserve"> </w:t>
      </w:r>
      <w:r w:rsidRPr="0006450B">
        <w:rPr>
          <w:b/>
        </w:rPr>
        <w:t>vykdytos programos, priemonės ir jų   įgyvendinimo rezultatai.</w:t>
      </w:r>
    </w:p>
    <w:p w:rsidR="00535B60" w:rsidRPr="00DA701B" w:rsidRDefault="00535B60" w:rsidP="00A80E1E">
      <w:pPr>
        <w:spacing w:line="360" w:lineRule="auto"/>
        <w:jc w:val="both"/>
        <w:rPr>
          <w:i/>
          <w:iCs/>
        </w:rPr>
      </w:pPr>
      <w:r w:rsidRPr="00DA701B">
        <w:t xml:space="preserve">Kūdikių  namų strateginis tikslas – užtikrinti kokybišką sveikatos priežiūrą, reabilitaciją, ugdymą ir socialinę globą  ankstyvojo amžiaus tėvų globos netekusiems vaikams, siekiant sumažinti jų socialinę atskirtį. </w:t>
      </w:r>
    </w:p>
    <w:p w:rsidR="00535B60" w:rsidRPr="00DA701B" w:rsidRDefault="00535B60" w:rsidP="00A80E1E">
      <w:pPr>
        <w:spacing w:line="360" w:lineRule="auto"/>
        <w:ind w:left="360"/>
        <w:jc w:val="both"/>
      </w:pPr>
      <w:r w:rsidRPr="00DA701B">
        <w:t>Vykdoma programa: Sveikatos apsaugos paslaugų kokybės gerinimas.</w:t>
      </w:r>
    </w:p>
    <w:p w:rsidR="00535B60" w:rsidRPr="0006450B" w:rsidRDefault="00535B60" w:rsidP="00A80E1E">
      <w:pPr>
        <w:spacing w:line="360" w:lineRule="auto"/>
        <w:jc w:val="both"/>
      </w:pPr>
      <w:r w:rsidRPr="0006450B">
        <w:t xml:space="preserve">    </w:t>
      </w:r>
      <w:r>
        <w:t xml:space="preserve">   </w:t>
      </w:r>
      <w:r w:rsidRPr="0006450B">
        <w:t xml:space="preserve">  Programos tikslas yra</w:t>
      </w:r>
      <w:r>
        <w:t xml:space="preserve"> </w:t>
      </w:r>
      <w:r w:rsidRPr="0006450B">
        <w:t>siekti sumažinti vaikų negalią ir optimaliai per šeimą integruoti į visuomenę. Tik</w:t>
      </w:r>
      <w:r>
        <w:t>slui</w:t>
      </w:r>
      <w:r w:rsidRPr="0006450B">
        <w:t xml:space="preserve"> pasiekti nustatytas prioritetinis uždavinys: užtikrinti vaikų sveikatos sutrikimų išaiškinimą, gydymą, reabilitaciją, profilaktiką, ugdymą, socialinių paslaugų teikimą, gyvenimo ir buities kokybę.</w:t>
      </w:r>
    </w:p>
    <w:p w:rsidR="00535B60" w:rsidRPr="0006450B" w:rsidRDefault="00535B60" w:rsidP="00A80E1E">
      <w:pPr>
        <w:spacing w:line="360" w:lineRule="auto"/>
        <w:ind w:left="360"/>
        <w:jc w:val="both"/>
      </w:pPr>
      <w:r w:rsidRPr="0006450B">
        <w:t xml:space="preserve">Uždavinio priemonės: </w:t>
      </w:r>
    </w:p>
    <w:p w:rsidR="00535B60" w:rsidRPr="0006450B" w:rsidRDefault="00535B60" w:rsidP="00A80E1E">
      <w:pPr>
        <w:numPr>
          <w:ilvl w:val="0"/>
          <w:numId w:val="2"/>
        </w:numPr>
        <w:spacing w:line="360" w:lineRule="auto"/>
        <w:jc w:val="both"/>
      </w:pPr>
      <w:r w:rsidRPr="0006450B">
        <w:t>Sukomplektuoti ir išlaik</w:t>
      </w:r>
      <w:r>
        <w:t>y</w:t>
      </w:r>
      <w:r w:rsidRPr="0006450B">
        <w:t xml:space="preserve">ti reikiamo išsilavinimo ir psichologinių </w:t>
      </w:r>
      <w:r>
        <w:t>savybių žmogiškąjį potencialą (g</w:t>
      </w:r>
      <w:r w:rsidRPr="0006450B">
        <w:t>ydytojai, slaugytojos, reabilitacijos specialistai, individualios asmens higienos specialistai, pedagogai ir kt.)</w:t>
      </w:r>
    </w:p>
    <w:p w:rsidR="00535B60" w:rsidRPr="0006450B" w:rsidRDefault="00535B60" w:rsidP="00A80E1E">
      <w:pPr>
        <w:numPr>
          <w:ilvl w:val="0"/>
          <w:numId w:val="2"/>
        </w:numPr>
        <w:spacing w:line="360" w:lineRule="auto"/>
        <w:jc w:val="both"/>
      </w:pPr>
      <w:r w:rsidRPr="0006450B">
        <w:t>Sukurti palankią aplinką, aprūpinti įstaigą finansiniais, materialiniais ištekliais, užtikrinti specialistų sistemingą kvalifikacijos kėlimą ir licencijavimą.</w:t>
      </w:r>
    </w:p>
    <w:p w:rsidR="00535B60" w:rsidRPr="00FF0CE7" w:rsidRDefault="00535B60" w:rsidP="00A80E1E">
      <w:pPr>
        <w:spacing w:line="360" w:lineRule="auto"/>
        <w:jc w:val="both"/>
      </w:pPr>
      <w:r>
        <w:t xml:space="preserve">       </w:t>
      </w:r>
      <w:r w:rsidRPr="00701A55">
        <w:rPr>
          <w:b/>
        </w:rPr>
        <w:t>2.3.</w:t>
      </w:r>
      <w:r>
        <w:t xml:space="preserve"> Siekdami įgyvendinti programos tikslą, su vaikais dirbame  ruošdami juos integracijai į visuomenę per šeimą (įvaikintojų, globėjų, biologinių tėvų). Tik taip gali būti patenkinta pagrindinė vaiko teisė – augti šeimoje, užtikrintas pilnavertis asmenybės ugdymas, sumažintas institucijose augančių vaikų skaičius, visuomenėje sumažinta rizikinga populiacija bei nusikalstamumas</w:t>
      </w:r>
      <w:r w:rsidRPr="007E0AA2">
        <w:rPr>
          <w:color w:val="FF0000"/>
        </w:rPr>
        <w:t xml:space="preserve">. </w:t>
      </w:r>
      <w:r w:rsidRPr="00FF0CE7">
        <w:t>Buvo planuojama, kad 2012 metais į šeimas pateks 90</w:t>
      </w:r>
      <w:r>
        <w:t xml:space="preserve"> </w:t>
      </w:r>
      <w:r w:rsidRPr="00FF0CE7">
        <w:t>% iš įstaigos išvykstančių vaikų, bet pavyko pasiekti, kad į šeimas pateko 92%. Rezultatas pasiektas 102 % (2011 m. – 95 %, 2010 m. – 97 %).</w:t>
      </w:r>
      <w:r>
        <w:t xml:space="preserve"> Kad vaikai galėtų integruotis į šeimas, būtinas ilgas kruopštus darbas ruošiant juos tam tikslui: ūmių ir lėtinių ligų išaiškinimas, gydymas ir profilaktika, ankstyvoji reabilitacija bei socializacija. </w:t>
      </w:r>
      <w:r w:rsidRPr="00FF0CE7">
        <w:t>2012 m. buvo planuota kiekvienam vaikui  vidutiniškai atlikti 63 ankstyvosios reabilitacijos procedūras, rodiklis pasiektas 100 % (2011 m. - 116 %, 2010 m. – 96 %).</w:t>
      </w:r>
    </w:p>
    <w:p w:rsidR="00535B60" w:rsidRDefault="00535B60" w:rsidP="0006480B">
      <w:pPr>
        <w:spacing w:line="360" w:lineRule="auto"/>
        <w:jc w:val="both"/>
      </w:pPr>
      <w:r>
        <w:t xml:space="preserve">         </w:t>
      </w:r>
      <w:r w:rsidRPr="0006450B">
        <w:t>Kadangi į</w:t>
      </w:r>
      <w:r>
        <w:t>staigoje vaikai auga nuo gimimo</w:t>
      </w:r>
      <w:r w:rsidRPr="0006450B">
        <w:t xml:space="preserve"> turėdami daugybę rizikos faktori</w:t>
      </w:r>
      <w:r>
        <w:t>ų : toksinį vaisiaus pakenkimą (alkoholiu, jo surogatais, narkotinėmis medžiagomis, nikotinu</w:t>
      </w:r>
      <w:r w:rsidRPr="0006450B">
        <w:t>), neišnešiotu</w:t>
      </w:r>
      <w:r>
        <w:t>m</w:t>
      </w:r>
      <w:r w:rsidRPr="0006450B">
        <w:t>ą, įvai</w:t>
      </w:r>
      <w:r>
        <w:t>r</w:t>
      </w:r>
      <w:r w:rsidRPr="0006450B">
        <w:t>ių apsigimimų ir t.t, jų sergamumas yra dažnesnis. Atsižvelgiant į Kū</w:t>
      </w:r>
      <w:r>
        <w:t>dikių namuose sudarytas sąlygas (</w:t>
      </w:r>
      <w:r w:rsidRPr="0006450B">
        <w:t>dirba vaikų ligų gydytojai, slaugytojos, gerai sutvarkyta materialinė bazė, neblogas aprūpinimas medikamentais</w:t>
      </w:r>
      <w:r>
        <w:t>),</w:t>
      </w:r>
      <w:r w:rsidRPr="0006450B">
        <w:t xml:space="preserve"> s</w:t>
      </w:r>
      <w:r>
        <w:t>tengiamasi vaikus gydyti įstaigoje</w:t>
      </w:r>
      <w:r w:rsidRPr="0006450B">
        <w:t>. Gydant vietoje netraum</w:t>
      </w:r>
      <w:r>
        <w:t>uojama ir taip labai pažeista</w:t>
      </w:r>
      <w:r w:rsidRPr="0006450B">
        <w:t xml:space="preserve"> vaikų nervų sistema, išvengiama </w:t>
      </w:r>
      <w:r>
        <w:t>hospitalinių infekcijų</w:t>
      </w:r>
      <w:r w:rsidRPr="0006450B">
        <w:t xml:space="preserve">, </w:t>
      </w:r>
      <w:r>
        <w:t>vaikai pasveiksta greičiau</w:t>
      </w:r>
      <w:r w:rsidRPr="0006450B">
        <w:t>, trumpesniam laikui nutrūk</w:t>
      </w:r>
      <w:r>
        <w:t>s</w:t>
      </w:r>
      <w:r w:rsidRPr="0006450B">
        <w:t>ta ankstyvosios reabilitacijos i</w:t>
      </w:r>
      <w:r>
        <w:t>r ugdymo procesas</w:t>
      </w:r>
      <w:r w:rsidRPr="0006450B">
        <w:t>, valstybiniu požiūriu vaikai išgydomi žymi</w:t>
      </w:r>
      <w:r>
        <w:t xml:space="preserve">ai mažesnėmis sąnaudomis. </w:t>
      </w:r>
      <w:r w:rsidRPr="0006450B">
        <w:t>201</w:t>
      </w:r>
      <w:r>
        <w:t>2</w:t>
      </w:r>
      <w:r w:rsidRPr="0006450B">
        <w:t xml:space="preserve"> meta</w:t>
      </w:r>
      <w:r>
        <w:t xml:space="preserve">is planavome hospitalizuoti </w:t>
      </w:r>
      <w:r w:rsidRPr="00FF0CE7">
        <w:rPr>
          <w:color w:val="000000"/>
        </w:rPr>
        <w:t>12</w:t>
      </w:r>
      <w:r w:rsidRPr="0006450B">
        <w:t xml:space="preserve"> % ūmiai ir sunkiai susirgusių vaikų, tačiau dėl ženkliai sumažėjusio įstaigos finansavimo negalėjome užtikrinti nepertraukiamo</w:t>
      </w:r>
      <w:r>
        <w:t xml:space="preserve"> sergančių sekimo savaitgaliais ir švenčių dienomis. D</w:t>
      </w:r>
      <w:r w:rsidRPr="0006450B">
        <w:t>ėl</w:t>
      </w:r>
      <w:r>
        <w:t xml:space="preserve"> įstaigoje augančių vaikų didelių sveikatos sutrikimų, apsigimimų, dėl vaikų sunkių sveikatos būklių,</w:t>
      </w:r>
      <w:r w:rsidRPr="0006450B">
        <w:t xml:space="preserve"> tyrimų ribojimo buvo hospitalizuota </w:t>
      </w:r>
      <w:r w:rsidRPr="00FF0CE7">
        <w:t>17,5</w:t>
      </w:r>
      <w:r w:rsidRPr="0006450B">
        <w:t xml:space="preserve"> %</w:t>
      </w:r>
      <w:r>
        <w:t xml:space="preserve"> ūmiai susirgusių vaikų. Rodiklis įvykdytas </w:t>
      </w:r>
      <w:r w:rsidRPr="0006450B">
        <w:t xml:space="preserve"> </w:t>
      </w:r>
      <w:r w:rsidRPr="002B1C66">
        <w:t>146</w:t>
      </w:r>
      <w:r w:rsidRPr="0006450B">
        <w:t xml:space="preserve"> % (</w:t>
      </w:r>
      <w:r>
        <w:t>2011 m. - 142</w:t>
      </w:r>
      <w:r w:rsidRPr="0006450B">
        <w:t xml:space="preserve"> %</w:t>
      </w:r>
      <w:r>
        <w:t>,  2010 m. – 96 %).</w:t>
      </w:r>
    </w:p>
    <w:p w:rsidR="00535B60" w:rsidRPr="00E871CC" w:rsidRDefault="00535B60" w:rsidP="0006480B">
      <w:pPr>
        <w:spacing w:line="360" w:lineRule="auto"/>
        <w:jc w:val="both"/>
      </w:pPr>
      <w:r>
        <w:t xml:space="preserve">    Siekiant optimaliai integruoti vaikus į šeimas, reikalingas jų ruošimas ne tik gerinant jų sveikatą, raidą, bet ir socializuojant (organizuojant išvykas į viešas vietas, kultūrinius renginius, organizuojant bendrus renginius su kitomis miesto vaikų įstaigomis). Buvo planuota per metus organizuoti </w:t>
      </w:r>
      <w:r w:rsidRPr="0006480B">
        <w:t>13</w:t>
      </w:r>
      <w:r>
        <w:t xml:space="preserve"> renginių, rodiklis pasiektas 100 %  (2011 m. – 125%,  2010 m. – 127 %).</w:t>
      </w:r>
    </w:p>
    <w:p w:rsidR="00535B60" w:rsidRPr="0006450B" w:rsidRDefault="00535B60" w:rsidP="0006480B">
      <w:pPr>
        <w:spacing w:line="360" w:lineRule="auto"/>
        <w:jc w:val="both"/>
      </w:pPr>
      <w:r>
        <w:t xml:space="preserve">      Tam, kad </w:t>
      </w:r>
      <w:r w:rsidRPr="0006450B">
        <w:t>užtikrinti kokybišką vaikų ištyrimą, gydymą, reabilitaciją, ugdymą be</w:t>
      </w:r>
      <w:r>
        <w:t>i darbo organizavimą,</w:t>
      </w:r>
      <w:r w:rsidRPr="0006450B">
        <w:t xml:space="preserve"> reikalingi atitinkami žmogiškieji resursai, nuolatinis ir sistemingas darbuotojų kvalifikacijos kėlimas. </w:t>
      </w:r>
      <w:r>
        <w:t>Dėl sumažėjusios įstaigos finansavimo, įstaiga negalėjo skirti lėšų darbuotojų kvalifikacijos tobulinimui, todėl darbuotojai tobulino kvalifikaciją savo lėšomis. Rodiklis pasiektas 116 %.</w:t>
      </w:r>
    </w:p>
    <w:p w:rsidR="00535B60" w:rsidRDefault="00535B60" w:rsidP="0038675D">
      <w:pPr>
        <w:spacing w:line="360" w:lineRule="auto"/>
        <w:jc w:val="both"/>
        <w:rPr>
          <w:color w:val="FF0000"/>
        </w:rPr>
      </w:pPr>
      <w:r>
        <w:t xml:space="preserve">      </w:t>
      </w:r>
      <w:r w:rsidRPr="0006450B">
        <w:t>Į Kūdikių namus vaikai atvyksta savivaldybių administracijos direktoriaus įsakymu iš visos Vakarų Lietuvos. Pastarųjų kelerių metų</w:t>
      </w:r>
      <w:r>
        <w:t xml:space="preserve"> valstybės institucijų </w:t>
      </w:r>
      <w:r w:rsidRPr="0006450B">
        <w:t xml:space="preserve"> nuostata yra sti</w:t>
      </w:r>
      <w:r>
        <w:t>printi socialinę pagalbą šeimoms namuose</w:t>
      </w:r>
      <w:r w:rsidRPr="0006450B">
        <w:t>, todėl</w:t>
      </w:r>
      <w:r>
        <w:t xml:space="preserve"> Kūdikių namuose</w:t>
      </w:r>
      <w:r w:rsidRPr="0006450B">
        <w:t xml:space="preserve"> esamo</w:t>
      </w:r>
      <w:r>
        <w:t xml:space="preserve">s vietos pilnai nebeužpildomos. </w:t>
      </w:r>
      <w:r w:rsidRPr="0006450B">
        <w:t>201</w:t>
      </w:r>
      <w:r>
        <w:t>2</w:t>
      </w:r>
      <w:r w:rsidRPr="0006450B">
        <w:t xml:space="preserve"> me</w:t>
      </w:r>
      <w:r>
        <w:t xml:space="preserve">tų lovadienių planas įvykdytas </w:t>
      </w:r>
      <w:r w:rsidRPr="0038675D">
        <w:t>70</w:t>
      </w:r>
      <w:r w:rsidRPr="0006450B">
        <w:t xml:space="preserve"> % (</w:t>
      </w:r>
      <w:r>
        <w:t xml:space="preserve">2011 m. – 89 %, 2010 m. – 79%). </w:t>
      </w:r>
      <w:r w:rsidRPr="0006450B">
        <w:t xml:space="preserve"> Lovos apyvarta 201</w:t>
      </w:r>
      <w:r>
        <w:t>2</w:t>
      </w:r>
      <w:r w:rsidRPr="0006450B">
        <w:t xml:space="preserve"> m. – </w:t>
      </w:r>
      <w:r w:rsidRPr="0038675D">
        <w:t>1,15</w:t>
      </w:r>
      <w:r w:rsidRPr="0006450B">
        <w:t xml:space="preserve"> (</w:t>
      </w:r>
      <w:r>
        <w:t xml:space="preserve">2011 m. – 1,15, 2010 m. – 1,3). </w:t>
      </w:r>
      <w:r w:rsidRPr="0006450B">
        <w:t xml:space="preserve"> </w:t>
      </w:r>
    </w:p>
    <w:p w:rsidR="00535B60" w:rsidRPr="00411D28" w:rsidRDefault="00535B60" w:rsidP="0038675D">
      <w:pPr>
        <w:spacing w:line="360" w:lineRule="auto"/>
        <w:jc w:val="both"/>
        <w:rPr>
          <w:b/>
        </w:rPr>
      </w:pPr>
      <w:r w:rsidRPr="00411D28">
        <w:rPr>
          <w:b/>
        </w:rPr>
        <w:t>Problemos</w:t>
      </w:r>
    </w:p>
    <w:p w:rsidR="00535B60" w:rsidRDefault="00535B60" w:rsidP="00701A55">
      <w:pPr>
        <w:spacing w:line="360" w:lineRule="auto"/>
        <w:ind w:left="720"/>
        <w:jc w:val="both"/>
      </w:pPr>
      <w:r>
        <w:t xml:space="preserve">3.1.  </w:t>
      </w:r>
      <w:r w:rsidRPr="0006450B">
        <w:t>Pagrindinė įstaigos problema</w:t>
      </w:r>
      <w:r>
        <w:t>, augant prekių ir paslaugų kainoms,</w:t>
      </w:r>
      <w:r w:rsidRPr="0006450B">
        <w:t xml:space="preserve"> yra nuolat mažėjantis finansavimas.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6"/>
        <w:gridCol w:w="1743"/>
        <w:gridCol w:w="1743"/>
        <w:gridCol w:w="1881"/>
      </w:tblGrid>
      <w:tr w:rsidR="00535B60" w:rsidTr="00D5631E">
        <w:tc>
          <w:tcPr>
            <w:tcW w:w="2106" w:type="dxa"/>
          </w:tcPr>
          <w:p w:rsidR="00535B60" w:rsidRPr="00D5631E" w:rsidRDefault="00535B60" w:rsidP="00D5631E">
            <w:pPr>
              <w:spacing w:line="360" w:lineRule="auto"/>
              <w:jc w:val="both"/>
            </w:pPr>
          </w:p>
        </w:tc>
        <w:tc>
          <w:tcPr>
            <w:tcW w:w="1743" w:type="dxa"/>
          </w:tcPr>
          <w:p w:rsidR="00535B60" w:rsidRPr="00D5631E" w:rsidRDefault="00535B60" w:rsidP="00D5631E">
            <w:pPr>
              <w:spacing w:line="360" w:lineRule="auto"/>
              <w:jc w:val="center"/>
            </w:pPr>
            <w:r w:rsidRPr="00D5631E">
              <w:rPr>
                <w:sz w:val="22"/>
                <w:szCs w:val="22"/>
              </w:rPr>
              <w:t xml:space="preserve">2012 m. </w:t>
            </w:r>
          </w:p>
        </w:tc>
        <w:tc>
          <w:tcPr>
            <w:tcW w:w="1743" w:type="dxa"/>
          </w:tcPr>
          <w:p w:rsidR="00535B60" w:rsidRPr="00D5631E" w:rsidRDefault="00535B60" w:rsidP="00D5631E">
            <w:pPr>
              <w:spacing w:line="360" w:lineRule="auto"/>
              <w:jc w:val="center"/>
            </w:pPr>
            <w:r w:rsidRPr="00D5631E">
              <w:rPr>
                <w:sz w:val="22"/>
                <w:szCs w:val="22"/>
              </w:rPr>
              <w:t>2011 m.</w:t>
            </w:r>
          </w:p>
        </w:tc>
        <w:tc>
          <w:tcPr>
            <w:tcW w:w="1881" w:type="dxa"/>
          </w:tcPr>
          <w:p w:rsidR="00535B60" w:rsidRPr="00D5631E" w:rsidRDefault="00535B60" w:rsidP="00D5631E">
            <w:pPr>
              <w:spacing w:line="360" w:lineRule="auto"/>
              <w:jc w:val="center"/>
            </w:pPr>
            <w:r w:rsidRPr="00D5631E">
              <w:rPr>
                <w:sz w:val="22"/>
                <w:szCs w:val="22"/>
              </w:rPr>
              <w:t>2010 m.</w:t>
            </w:r>
          </w:p>
        </w:tc>
      </w:tr>
      <w:tr w:rsidR="00535B60" w:rsidTr="00D5631E">
        <w:tc>
          <w:tcPr>
            <w:tcW w:w="2106" w:type="dxa"/>
          </w:tcPr>
          <w:p w:rsidR="00535B60" w:rsidRPr="00D5631E" w:rsidRDefault="00535B60" w:rsidP="00D5631E">
            <w:pPr>
              <w:spacing w:line="360" w:lineRule="auto"/>
              <w:jc w:val="center"/>
            </w:pPr>
            <w:r w:rsidRPr="00D5631E">
              <w:rPr>
                <w:sz w:val="22"/>
                <w:szCs w:val="22"/>
              </w:rPr>
              <w:t>Įstaigos finansavimas</w:t>
            </w:r>
          </w:p>
        </w:tc>
        <w:tc>
          <w:tcPr>
            <w:tcW w:w="1743" w:type="dxa"/>
          </w:tcPr>
          <w:p w:rsidR="00535B60" w:rsidRPr="00D5631E" w:rsidRDefault="00535B60" w:rsidP="00D5631E">
            <w:pPr>
              <w:spacing w:line="360" w:lineRule="auto"/>
              <w:jc w:val="center"/>
            </w:pPr>
            <w:r w:rsidRPr="00D5631E">
              <w:rPr>
                <w:sz w:val="22"/>
                <w:szCs w:val="22"/>
              </w:rPr>
              <w:t>2887,0</w:t>
            </w:r>
          </w:p>
        </w:tc>
        <w:tc>
          <w:tcPr>
            <w:tcW w:w="1743" w:type="dxa"/>
          </w:tcPr>
          <w:p w:rsidR="00535B60" w:rsidRPr="00D5631E" w:rsidRDefault="00535B60" w:rsidP="00D5631E">
            <w:pPr>
              <w:spacing w:line="360" w:lineRule="auto"/>
              <w:jc w:val="center"/>
            </w:pPr>
            <w:r w:rsidRPr="00D5631E">
              <w:rPr>
                <w:sz w:val="22"/>
                <w:szCs w:val="22"/>
              </w:rPr>
              <w:t>3007,0 tūkst. Lt</w:t>
            </w:r>
          </w:p>
        </w:tc>
        <w:tc>
          <w:tcPr>
            <w:tcW w:w="1881" w:type="dxa"/>
          </w:tcPr>
          <w:p w:rsidR="00535B60" w:rsidRPr="00D5631E" w:rsidRDefault="00535B60" w:rsidP="00D5631E">
            <w:pPr>
              <w:spacing w:line="360" w:lineRule="auto"/>
              <w:jc w:val="center"/>
            </w:pPr>
            <w:r w:rsidRPr="00D5631E">
              <w:rPr>
                <w:sz w:val="22"/>
                <w:szCs w:val="22"/>
              </w:rPr>
              <w:t>3026,0 tūkst. Lt</w:t>
            </w:r>
          </w:p>
        </w:tc>
      </w:tr>
      <w:tr w:rsidR="00535B60" w:rsidTr="00D5631E">
        <w:tc>
          <w:tcPr>
            <w:tcW w:w="2106" w:type="dxa"/>
          </w:tcPr>
          <w:p w:rsidR="00535B60" w:rsidRPr="00D5631E" w:rsidRDefault="00535B60" w:rsidP="00D5631E">
            <w:pPr>
              <w:jc w:val="center"/>
            </w:pPr>
            <w:r w:rsidRPr="00D5631E">
              <w:rPr>
                <w:sz w:val="22"/>
                <w:szCs w:val="22"/>
              </w:rPr>
              <w:t>Darbo užmokesčio fondas</w:t>
            </w:r>
          </w:p>
        </w:tc>
        <w:tc>
          <w:tcPr>
            <w:tcW w:w="1743" w:type="dxa"/>
          </w:tcPr>
          <w:p w:rsidR="00535B60" w:rsidRPr="00D5631E" w:rsidRDefault="00535B60" w:rsidP="00D5631E">
            <w:pPr>
              <w:spacing w:line="360" w:lineRule="auto"/>
              <w:jc w:val="center"/>
            </w:pPr>
            <w:r w:rsidRPr="00D5631E">
              <w:rPr>
                <w:sz w:val="22"/>
                <w:szCs w:val="22"/>
              </w:rPr>
              <w:t>1847,8</w:t>
            </w:r>
          </w:p>
        </w:tc>
        <w:tc>
          <w:tcPr>
            <w:tcW w:w="1743" w:type="dxa"/>
          </w:tcPr>
          <w:p w:rsidR="00535B60" w:rsidRPr="00D5631E" w:rsidRDefault="00535B60" w:rsidP="00D5631E">
            <w:pPr>
              <w:spacing w:line="360" w:lineRule="auto"/>
              <w:jc w:val="center"/>
            </w:pPr>
            <w:r w:rsidRPr="00D5631E">
              <w:rPr>
                <w:sz w:val="22"/>
                <w:szCs w:val="22"/>
              </w:rPr>
              <w:t>1924,6 tūkst. Lt</w:t>
            </w:r>
          </w:p>
        </w:tc>
        <w:tc>
          <w:tcPr>
            <w:tcW w:w="1881" w:type="dxa"/>
          </w:tcPr>
          <w:p w:rsidR="00535B60" w:rsidRPr="00D5631E" w:rsidRDefault="00535B60" w:rsidP="00D5631E">
            <w:pPr>
              <w:spacing w:line="360" w:lineRule="auto"/>
              <w:jc w:val="center"/>
            </w:pPr>
            <w:r w:rsidRPr="00D5631E">
              <w:rPr>
                <w:sz w:val="22"/>
                <w:szCs w:val="22"/>
              </w:rPr>
              <w:t>1939,0 tūkst. Lt</w:t>
            </w:r>
          </w:p>
        </w:tc>
      </w:tr>
    </w:tbl>
    <w:p w:rsidR="00535B60" w:rsidRDefault="00535B60" w:rsidP="00AE4115">
      <w:pPr>
        <w:spacing w:line="360" w:lineRule="auto"/>
        <w:jc w:val="both"/>
      </w:pPr>
      <w:r>
        <w:t xml:space="preserve">          2012 m. įstaigos finansavimas sumažėjo 4 %, per paskutinius dvejus metus - 5 %, darbo užmokesčio fondas - 4 %.</w:t>
      </w:r>
    </w:p>
    <w:p w:rsidR="00535B60" w:rsidRDefault="00535B60" w:rsidP="00A80E1E">
      <w:pPr>
        <w:spacing w:line="360" w:lineRule="auto"/>
        <w:jc w:val="both"/>
      </w:pPr>
      <w:r>
        <w:t xml:space="preserve"> </w:t>
      </w:r>
      <w:r w:rsidRPr="0006450B">
        <w:t xml:space="preserve"> </w:t>
      </w:r>
      <w:r>
        <w:t xml:space="preserve">       Taupydami lėšas bei atsižvelgdami į sumažėjusį įstaigos vaikų skaičių, uždarėme vieną vaikų grupę.</w:t>
      </w:r>
    </w:p>
    <w:p w:rsidR="00535B60" w:rsidRDefault="00535B60" w:rsidP="00A80E1E">
      <w:pPr>
        <w:spacing w:line="360" w:lineRule="auto"/>
        <w:jc w:val="both"/>
      </w:pPr>
      <w:r>
        <w:t xml:space="preserve">        Rimta problema, organizuojant įstaigos veiklą yra tai, kad nėra Kūdikių  namų įstatyminės bazės ( Higienos normos, vaikų bei darbuotojų struktūros ir normatyvų ir tt.) Darbą organizuojame prisitaikydami kitų įstaigų  (vaikų stacionarų, ikimokyklinių įstaigų, globos namų ) higienos normas ir normatyvus bei remdamiesi ilgalaike nusistovėjusia praktika bei patirtimi. Neretai tai tampa kliūtimi bendradarbiaujant su kontroliuojančiomis institucijomis. </w:t>
      </w:r>
    </w:p>
    <w:p w:rsidR="00535B60" w:rsidRDefault="00535B60" w:rsidP="00A80E1E">
      <w:pPr>
        <w:spacing w:line="360" w:lineRule="auto"/>
        <w:jc w:val="both"/>
      </w:pPr>
      <w:r>
        <w:t xml:space="preserve">              </w:t>
      </w:r>
    </w:p>
    <w:p w:rsidR="00535B60" w:rsidRDefault="00535B60" w:rsidP="00A80E1E">
      <w:pPr>
        <w:spacing w:line="360" w:lineRule="auto"/>
        <w:jc w:val="both"/>
      </w:pPr>
      <w:r>
        <w:t xml:space="preserve">3.2. 2012 m. įstaigoje atliktas Valstybinės akreditavimo sveikatos priežiūros veiklai patikrinimas.  Trūkumai pašalinti.       </w:t>
      </w:r>
    </w:p>
    <w:p w:rsidR="00535B60" w:rsidRDefault="00535B60" w:rsidP="00A80E1E">
      <w:pPr>
        <w:spacing w:line="360" w:lineRule="auto"/>
        <w:jc w:val="both"/>
      </w:pPr>
      <w:r>
        <w:t xml:space="preserve">        Įstaigoje atliktas Valstybinės darbo inspekcijos Klaipėdos skyriaus patikrinimas. Pažeidimų nerasta.</w:t>
      </w:r>
    </w:p>
    <w:p w:rsidR="00535B60" w:rsidRDefault="00535B60" w:rsidP="00A80E1E">
      <w:pPr>
        <w:spacing w:line="360" w:lineRule="auto"/>
        <w:jc w:val="both"/>
      </w:pPr>
      <w:r>
        <w:t xml:space="preserve">        Įstaigą tikrino Klaipėdos Valstybinė maisto veterinarinė tarnyba, Klaipėdos Visuomenės sveikatos centras. Trūkumai pašalinti. </w:t>
      </w:r>
    </w:p>
    <w:p w:rsidR="00535B60" w:rsidRPr="0006450B" w:rsidRDefault="00535B60" w:rsidP="00A80E1E">
      <w:pPr>
        <w:spacing w:line="360" w:lineRule="auto"/>
        <w:jc w:val="both"/>
      </w:pPr>
      <w:r>
        <w:t xml:space="preserve">     </w:t>
      </w:r>
      <w:r w:rsidRPr="0006450B">
        <w:rPr>
          <w:b/>
        </w:rPr>
        <w:t>4.Vadovo indėlis tobulinant įstaigos administravimą</w:t>
      </w:r>
      <w:r w:rsidRPr="0006450B">
        <w:t>.</w:t>
      </w:r>
    </w:p>
    <w:p w:rsidR="00535B60" w:rsidRPr="0006450B" w:rsidRDefault="00535B60" w:rsidP="00A80E1E">
      <w:pPr>
        <w:spacing w:line="360" w:lineRule="auto"/>
        <w:ind w:left="360"/>
        <w:jc w:val="both"/>
      </w:pPr>
      <w:r w:rsidRPr="0006450B">
        <w:t>4.1. Personalo valdymo, vidinių ir išorinių resursų  paieškos rezultatai.</w:t>
      </w:r>
    </w:p>
    <w:p w:rsidR="00535B60" w:rsidRDefault="00535B60" w:rsidP="00A80E1E">
      <w:pPr>
        <w:spacing w:line="360" w:lineRule="auto"/>
        <w:jc w:val="both"/>
      </w:pPr>
      <w:r>
        <w:t xml:space="preserve">      Kūdikių namų organizacinė struktūra neadekvati įstaigoje augančių vaikų skaičiui, todėl </w:t>
      </w:r>
      <w:r w:rsidRPr="001A4A79">
        <w:t xml:space="preserve">2012 m. </w:t>
      </w:r>
      <w:r>
        <w:t>peržiūrėtas etatų skaičius ir steigėjui pateiktas tvirtinti naujas didžiausias leistinas pareigybių skaičius. Pareigybių skaičius sumažintas 14,75 etatais.</w:t>
      </w:r>
    </w:p>
    <w:p w:rsidR="00535B60" w:rsidRDefault="00535B60" w:rsidP="00A80E1E">
      <w:pPr>
        <w:spacing w:line="360" w:lineRule="auto"/>
        <w:jc w:val="both"/>
      </w:pPr>
      <w:r>
        <w:t xml:space="preserve">     Nenutrūkstamai įstaigos veiklai užtikrinti bei siekiant taupyti įstaigos lėšas, pasitelkta Darbo biržos ir Savivaldybės lėšomis finansuojama Viešųjų darbų programa. Tokiu būdu Kūdikių namai  sutaupė 24  tūkst. Lt.</w:t>
      </w:r>
    </w:p>
    <w:p w:rsidR="00535B60" w:rsidRDefault="00535B60" w:rsidP="00A80E1E">
      <w:pPr>
        <w:spacing w:line="360" w:lineRule="auto"/>
        <w:jc w:val="both"/>
      </w:pPr>
      <w:r>
        <w:t xml:space="preserve">     Kūdikių namuose nuolat ieškota išorinių resursų, pateikti prašymai dėl paramos skyrimo įvairioms įmonėms,  tokiu būdu 2012 metų eigoje pritraukta </w:t>
      </w:r>
      <w:r w:rsidRPr="00DA701B">
        <w:t>103130,0</w:t>
      </w:r>
      <w:r>
        <w:t xml:space="preserve"> Lt paramos lėšų.</w:t>
      </w:r>
    </w:p>
    <w:p w:rsidR="00535B60" w:rsidRDefault="00535B60" w:rsidP="00A80E1E">
      <w:pPr>
        <w:spacing w:line="360" w:lineRule="auto"/>
        <w:ind w:left="360"/>
        <w:jc w:val="both"/>
      </w:pPr>
      <w:r w:rsidRPr="0006450B">
        <w:t>4.2. Įstaigos įvaizdžio gerinimo priemonės.</w:t>
      </w:r>
    </w:p>
    <w:p w:rsidR="00535B60" w:rsidRDefault="00535B60" w:rsidP="00A80E1E">
      <w:pPr>
        <w:spacing w:line="360" w:lineRule="auto"/>
        <w:jc w:val="both"/>
      </w:pPr>
      <w:r>
        <w:t xml:space="preserve">     Įstaigos įvaizdžiui, vaikų gyvenimo kokybei bei darbuotojų darbo sąlygoms gerinti  paramos  lėšomis atnaujinti technologiniai įrengimai, </w:t>
      </w:r>
      <w:bookmarkStart w:id="0" w:name="_GoBack"/>
      <w:bookmarkEnd w:id="0"/>
      <w:r>
        <w:t>baldai, įsigyta higienos bei edukacinių priemonių.</w:t>
      </w:r>
    </w:p>
    <w:p w:rsidR="00535B60" w:rsidRDefault="00535B60" w:rsidP="00A80E1E">
      <w:pPr>
        <w:spacing w:line="360" w:lineRule="auto"/>
        <w:jc w:val="both"/>
      </w:pPr>
    </w:p>
    <w:p w:rsidR="00535B60" w:rsidRDefault="00535B60" w:rsidP="00A80E1E">
      <w:pPr>
        <w:spacing w:line="360" w:lineRule="auto"/>
        <w:jc w:val="both"/>
      </w:pPr>
    </w:p>
    <w:p w:rsidR="00535B60" w:rsidRPr="0006450B" w:rsidRDefault="00535B60" w:rsidP="00A80E1E">
      <w:pPr>
        <w:spacing w:line="360" w:lineRule="auto"/>
        <w:jc w:val="both"/>
      </w:pPr>
      <w:r>
        <w:t>Direktorė                                                                                                             Aušra Nikolajevienė</w:t>
      </w:r>
    </w:p>
    <w:p w:rsidR="00535B60" w:rsidRDefault="00535B60"/>
    <w:sectPr w:rsidR="00535B60" w:rsidSect="00A80E1E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742E9"/>
    <w:multiLevelType w:val="hybridMultilevel"/>
    <w:tmpl w:val="8942534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A64689"/>
    <w:multiLevelType w:val="hybridMultilevel"/>
    <w:tmpl w:val="98A44F4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E1E"/>
    <w:rsid w:val="00046D51"/>
    <w:rsid w:val="0006450B"/>
    <w:rsid w:val="0006480B"/>
    <w:rsid w:val="00074907"/>
    <w:rsid w:val="001A4A79"/>
    <w:rsid w:val="001E526B"/>
    <w:rsid w:val="00214FE3"/>
    <w:rsid w:val="002B1C66"/>
    <w:rsid w:val="002E1083"/>
    <w:rsid w:val="0038675D"/>
    <w:rsid w:val="003B0ABC"/>
    <w:rsid w:val="003E3D2D"/>
    <w:rsid w:val="003F7799"/>
    <w:rsid w:val="00411D28"/>
    <w:rsid w:val="00494831"/>
    <w:rsid w:val="00496FF3"/>
    <w:rsid w:val="004E125B"/>
    <w:rsid w:val="004F77E0"/>
    <w:rsid w:val="00521365"/>
    <w:rsid w:val="00535B60"/>
    <w:rsid w:val="005562CE"/>
    <w:rsid w:val="0059013C"/>
    <w:rsid w:val="005C4433"/>
    <w:rsid w:val="00630EAB"/>
    <w:rsid w:val="00701A55"/>
    <w:rsid w:val="00751ACB"/>
    <w:rsid w:val="0079655C"/>
    <w:rsid w:val="007E0AA2"/>
    <w:rsid w:val="00832E6D"/>
    <w:rsid w:val="00975572"/>
    <w:rsid w:val="009975A9"/>
    <w:rsid w:val="009D655F"/>
    <w:rsid w:val="00A0643F"/>
    <w:rsid w:val="00A80E1E"/>
    <w:rsid w:val="00A92C24"/>
    <w:rsid w:val="00AE4115"/>
    <w:rsid w:val="00B40051"/>
    <w:rsid w:val="00B95EF0"/>
    <w:rsid w:val="00BB6382"/>
    <w:rsid w:val="00BF4792"/>
    <w:rsid w:val="00C16325"/>
    <w:rsid w:val="00C60205"/>
    <w:rsid w:val="00D17A3C"/>
    <w:rsid w:val="00D17CA7"/>
    <w:rsid w:val="00D27CA9"/>
    <w:rsid w:val="00D5631E"/>
    <w:rsid w:val="00D73B2F"/>
    <w:rsid w:val="00D7492A"/>
    <w:rsid w:val="00DA701B"/>
    <w:rsid w:val="00DD4557"/>
    <w:rsid w:val="00DE50CF"/>
    <w:rsid w:val="00E467B9"/>
    <w:rsid w:val="00E67F7A"/>
    <w:rsid w:val="00E702AD"/>
    <w:rsid w:val="00E871CC"/>
    <w:rsid w:val="00EB101A"/>
    <w:rsid w:val="00EC0404"/>
    <w:rsid w:val="00EE18DA"/>
    <w:rsid w:val="00F93BC4"/>
    <w:rsid w:val="00FF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E1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A80E1E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A80E1E"/>
    <w:rPr>
      <w:rFonts w:cs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A80E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80E1E"/>
    <w:rPr>
      <w:rFonts w:ascii="Cambria" w:hAnsi="Cambria" w:cs="Times New Roman"/>
      <w:b/>
      <w:bCs/>
      <w:kern w:val="28"/>
      <w:sz w:val="32"/>
      <w:szCs w:val="32"/>
      <w:lang w:eastAsia="lt-LT"/>
    </w:rPr>
  </w:style>
  <w:style w:type="table" w:styleId="TableGrid">
    <w:name w:val="Table Grid"/>
    <w:basedOn w:val="TableNormal"/>
    <w:uiPriority w:val="99"/>
    <w:rsid w:val="00A80E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90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013C"/>
    <w:rPr>
      <w:rFonts w:ascii="Tahoma" w:hAnsi="Tahoma" w:cs="Tahoma"/>
      <w:sz w:val="16"/>
      <w:szCs w:val="16"/>
      <w:lang w:eastAsia="lt-LT"/>
    </w:rPr>
  </w:style>
  <w:style w:type="paragraph" w:styleId="ListParagraph">
    <w:name w:val="List Paragraph"/>
    <w:basedOn w:val="Normal"/>
    <w:uiPriority w:val="99"/>
    <w:qFormat/>
    <w:rsid w:val="00701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5338</Words>
  <Characters>3043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Biudžetinių ir viešųjų įstaigų vadovų veiklos ataskaita</dc:title>
  <dc:subject/>
  <dc:creator>EeeBox</dc:creator>
  <cp:keywords/>
  <dc:description/>
  <cp:lastModifiedBy>V.Palaimiene</cp:lastModifiedBy>
  <cp:revision>2</cp:revision>
  <cp:lastPrinted>2013-04-19T06:47:00Z</cp:lastPrinted>
  <dcterms:created xsi:type="dcterms:W3CDTF">2013-04-24T08:06:00Z</dcterms:created>
  <dcterms:modified xsi:type="dcterms:W3CDTF">2013-04-24T08:06:00Z</dcterms:modified>
</cp:coreProperties>
</file>