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0"/>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999"/>
        <w:gridCol w:w="2082"/>
        <w:gridCol w:w="1876"/>
        <w:gridCol w:w="1741"/>
      </w:tblGrid>
      <w:tr w:rsidR="00422EFD" w:rsidRPr="00C04F70" w:rsidTr="00E526E1">
        <w:tc>
          <w:tcPr>
            <w:tcW w:w="0" w:type="auto"/>
            <w:gridSpan w:val="4"/>
            <w:tcBorders>
              <w:top w:val="nil"/>
              <w:left w:val="nil"/>
              <w:bottom w:val="nil"/>
              <w:right w:val="nil"/>
            </w:tcBorders>
            <w:noWrap/>
            <w:vAlign w:val="center"/>
          </w:tcPr>
          <w:p w:rsidR="00422EFD" w:rsidRPr="00E526E1" w:rsidRDefault="00422EFD" w:rsidP="00E526E1">
            <w:pPr>
              <w:spacing w:after="240" w:line="240" w:lineRule="auto"/>
              <w:jc w:val="center"/>
              <w:textAlignment w:val="top"/>
              <w:rPr>
                <w:rFonts w:ascii="Tahoma" w:hAnsi="Tahoma" w:cs="Tahoma"/>
                <w:b/>
                <w:bCs/>
                <w:sz w:val="14"/>
                <w:szCs w:val="14"/>
                <w:lang w:eastAsia="lt-LT"/>
              </w:rPr>
            </w:pPr>
            <w:r w:rsidRPr="00E526E1">
              <w:rPr>
                <w:rFonts w:ascii="Tahoma" w:hAnsi="Tahoma" w:cs="Tahoma"/>
                <w:b/>
                <w:bCs/>
                <w:sz w:val="14"/>
                <w:szCs w:val="14"/>
                <w:lang w:eastAsia="lt-LT"/>
              </w:rPr>
              <w:t>Vietos savivaldos įstatymas</w:t>
            </w:r>
          </w:p>
        </w:tc>
      </w:tr>
      <w:tr w:rsidR="00422EFD" w:rsidRPr="00C04F70" w:rsidTr="00E526E1">
        <w:tc>
          <w:tcPr>
            <w:tcW w:w="0" w:type="auto"/>
            <w:tcBorders>
              <w:top w:val="single" w:sz="6" w:space="0" w:color="000000"/>
              <w:bottom w:val="single" w:sz="6" w:space="0" w:color="000000"/>
              <w:right w:val="single" w:sz="6" w:space="0" w:color="000000"/>
            </w:tcBorders>
            <w:noWrap/>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Rūšis: </w:t>
            </w:r>
            <w:r w:rsidRPr="00E526E1">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Numeris: </w:t>
            </w:r>
            <w:r w:rsidRPr="00E526E1">
              <w:rPr>
                <w:rFonts w:ascii="Tahoma" w:hAnsi="Tahoma" w:cs="Tahoma"/>
                <w:b/>
                <w:bCs/>
                <w:sz w:val="14"/>
                <w:szCs w:val="14"/>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Data: </w:t>
            </w:r>
            <w:r w:rsidRPr="00E526E1">
              <w:rPr>
                <w:rFonts w:ascii="Tahoma" w:hAnsi="Tahoma" w:cs="Tahoma"/>
                <w:b/>
                <w:bCs/>
                <w:sz w:val="14"/>
                <w:szCs w:val="14"/>
                <w:lang w:eastAsia="lt-LT"/>
              </w:rPr>
              <w:t xml:space="preserve">2012-10-17 </w:t>
            </w:r>
          </w:p>
        </w:tc>
        <w:tc>
          <w:tcPr>
            <w:tcW w:w="0" w:type="auto"/>
            <w:tcBorders>
              <w:top w:val="single" w:sz="6" w:space="0" w:color="000000"/>
              <w:left w:val="single" w:sz="6" w:space="0" w:color="000000"/>
              <w:bottom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Kalba: </w:t>
            </w:r>
            <w:r w:rsidRPr="00E526E1">
              <w:rPr>
                <w:rFonts w:ascii="Tahoma" w:hAnsi="Tahoma" w:cs="Tahoma"/>
                <w:b/>
                <w:bCs/>
                <w:sz w:val="14"/>
                <w:szCs w:val="14"/>
                <w:lang w:eastAsia="lt-LT"/>
              </w:rPr>
              <w:t xml:space="preserve">Lietuvių </w:t>
            </w:r>
          </w:p>
        </w:tc>
      </w:tr>
      <w:tr w:rsidR="00422EFD" w:rsidRPr="00C04F70" w:rsidTr="00E526E1">
        <w:tc>
          <w:tcPr>
            <w:tcW w:w="0" w:type="auto"/>
            <w:gridSpan w:val="2"/>
            <w:tcBorders>
              <w:top w:val="single" w:sz="6" w:space="0" w:color="000000"/>
              <w:bottom w:val="single" w:sz="6" w:space="0" w:color="000000"/>
              <w:right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Statusas: </w:t>
            </w:r>
            <w:r w:rsidRPr="00E526E1">
              <w:rPr>
                <w:rFonts w:ascii="Tahoma" w:hAnsi="Tahoma" w:cs="Tahoma"/>
                <w:b/>
                <w:bCs/>
                <w:sz w:val="14"/>
                <w:szCs w:val="14"/>
                <w:lang w:eastAsia="lt-LT"/>
              </w:rPr>
              <w:t>Aktuali 2012-10-31</w:t>
            </w:r>
          </w:p>
        </w:tc>
      </w:tr>
      <w:tr w:rsidR="00422EFD" w:rsidRPr="00C04F70" w:rsidTr="00E526E1">
        <w:tc>
          <w:tcPr>
            <w:tcW w:w="0" w:type="auto"/>
            <w:gridSpan w:val="4"/>
            <w:tcBorders>
              <w:top w:val="single" w:sz="6" w:space="0" w:color="000000"/>
              <w:bottom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b/>
                <w:bCs/>
                <w:sz w:val="14"/>
                <w:szCs w:val="14"/>
                <w:lang w:eastAsia="lt-LT"/>
              </w:rPr>
              <w:t>2012-10-17 Teisės aktą priėmė - Lietuvos Respublikos Seimas</w:t>
            </w:r>
            <w:r w:rsidRPr="00E526E1">
              <w:rPr>
                <w:rFonts w:ascii="Tahoma" w:hAnsi="Tahoma" w:cs="Tahoma"/>
                <w:sz w:val="14"/>
                <w:szCs w:val="14"/>
                <w:lang w:eastAsia="lt-LT"/>
              </w:rPr>
              <w:t xml:space="preserve"> </w:t>
            </w:r>
            <w:hyperlink r:id="rId4" w:tooltip="Daugiau informacijos apie ryšius" w:history="1">
              <w:r w:rsidRPr="00E526E1">
                <w:rPr>
                  <w:rFonts w:ascii="Tahoma" w:hAnsi="Tahoma" w:cs="Tahoma"/>
                  <w:color w:val="0000FF"/>
                  <w:sz w:val="14"/>
                  <w:szCs w:val="14"/>
                  <w:u w:val="single"/>
                  <w:lang w:eastAsia="lt-LT"/>
                </w:rPr>
                <w:t>&gt;&gt;</w:t>
              </w:r>
            </w:hyperlink>
          </w:p>
        </w:tc>
      </w:tr>
      <w:tr w:rsidR="00422EFD" w:rsidRPr="00C04F70" w:rsidTr="00E526E1">
        <w:tc>
          <w:tcPr>
            <w:tcW w:w="0" w:type="auto"/>
            <w:gridSpan w:val="4"/>
            <w:tcBorders>
              <w:top w:val="single" w:sz="6" w:space="0" w:color="000000"/>
              <w:bottom w:val="single" w:sz="6" w:space="0" w:color="000000"/>
            </w:tcBorders>
            <w:noWrap/>
          </w:tcPr>
          <w:p w:rsidR="00422EFD" w:rsidRPr="00E526E1" w:rsidRDefault="00422EFD" w:rsidP="00E526E1">
            <w:pPr>
              <w:spacing w:after="0" w:line="240" w:lineRule="auto"/>
              <w:rPr>
                <w:rFonts w:ascii="Tahoma" w:hAnsi="Tahoma" w:cs="Tahoma"/>
                <w:sz w:val="14"/>
                <w:szCs w:val="14"/>
                <w:lang w:eastAsia="lt-LT"/>
              </w:rPr>
            </w:pPr>
            <w:hyperlink r:id="rId5" w:history="1">
              <w:r w:rsidRPr="00E526E1">
                <w:rPr>
                  <w:rFonts w:ascii="Tahoma" w:hAnsi="Tahoma" w:cs="Tahoma"/>
                  <w:color w:val="0000FF"/>
                  <w:sz w:val="14"/>
                  <w:szCs w:val="14"/>
                  <w:u w:val="single"/>
                  <w:lang w:eastAsia="lt-LT"/>
                </w:rPr>
                <w:t>Susiję dokumentai</w:t>
              </w:r>
            </w:hyperlink>
            <w:r w:rsidRPr="00E526E1">
              <w:rPr>
                <w:rFonts w:ascii="Tahoma" w:hAnsi="Tahoma" w:cs="Tahoma"/>
                <w:sz w:val="14"/>
                <w:szCs w:val="14"/>
                <w:lang w:eastAsia="lt-LT"/>
              </w:rPr>
              <w:t xml:space="preserve"> </w:t>
            </w:r>
            <w:hyperlink r:id="rId6" w:history="1">
              <w:r w:rsidRPr="00E526E1">
                <w:rPr>
                  <w:rFonts w:ascii="Tahoma" w:hAnsi="Tahoma" w:cs="Tahoma"/>
                  <w:color w:val="0000FF"/>
                  <w:sz w:val="14"/>
                  <w:szCs w:val="14"/>
                  <w:u w:val="single"/>
                  <w:lang w:eastAsia="lt-LT"/>
                </w:rPr>
                <w:t>Susiję Europos Sąjungos teisės aktai</w:t>
              </w:r>
            </w:hyperlink>
            <w:r w:rsidRPr="00E526E1">
              <w:rPr>
                <w:rFonts w:ascii="Tahoma" w:hAnsi="Tahoma" w:cs="Tahoma"/>
                <w:sz w:val="14"/>
                <w:szCs w:val="14"/>
                <w:lang w:eastAsia="lt-LT"/>
              </w:rPr>
              <w:t xml:space="preserve"> </w:t>
            </w:r>
          </w:p>
        </w:tc>
      </w:tr>
      <w:tr w:rsidR="00422EFD" w:rsidRPr="00C04F70" w:rsidTr="00E526E1">
        <w:tc>
          <w:tcPr>
            <w:tcW w:w="0" w:type="auto"/>
            <w:noWrap/>
          </w:tcPr>
          <w:p w:rsidR="00422EFD" w:rsidRPr="00E526E1" w:rsidRDefault="00422EFD" w:rsidP="00E526E1">
            <w:pPr>
              <w:spacing w:after="0" w:line="240" w:lineRule="auto"/>
              <w:rPr>
                <w:rFonts w:ascii="Tahoma" w:hAnsi="Tahoma" w:cs="Tahoma"/>
                <w:sz w:val="14"/>
                <w:szCs w:val="14"/>
                <w:lang w:eastAsia="lt-LT"/>
              </w:rPr>
            </w:pPr>
            <w:hyperlink r:id="rId7" w:tooltip="Dokumentas" w:history="1">
              <w:r w:rsidRPr="00E526E1">
                <w:rPr>
                  <w:rFonts w:ascii="Tahoma" w:hAnsi="Tahoma" w:cs="Tahoma"/>
                  <w:b/>
                  <w:bCs/>
                  <w:color w:val="FF0000"/>
                  <w:sz w:val="14"/>
                  <w:szCs w:val="14"/>
                  <w:u w:val="single"/>
                  <w:lang w:eastAsia="lt-LT"/>
                </w:rPr>
                <w:t>Word 2003 dokumentas</w:t>
              </w:r>
            </w:hyperlink>
            <w:r w:rsidRPr="00E526E1">
              <w:rPr>
                <w:rFonts w:ascii="Tahoma" w:hAnsi="Tahoma" w:cs="Tahoma"/>
                <w:sz w:val="14"/>
                <w:szCs w:val="14"/>
                <w:lang w:eastAsia="lt-LT"/>
              </w:rPr>
              <w:t xml:space="preserve"> </w:t>
            </w:r>
            <w:hyperlink r:id="rId8" w:tooltip="Dokumentas" w:history="1">
              <w:r w:rsidRPr="00C04F70">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359" title="Dokumentas" style="width:12pt;height:12pt;visibility:visible" o:button="t">
                    <v:fill o:detectmouseclick="t"/>
                    <v:imagedata r:id="rId9" o:title=""/>
                  </v:shape>
                </w:pict>
              </w:r>
            </w:hyperlink>
          </w:p>
        </w:tc>
        <w:tc>
          <w:tcPr>
            <w:tcW w:w="0" w:type="auto"/>
            <w:vAlign w:val="center"/>
          </w:tcPr>
          <w:p w:rsidR="00422EFD" w:rsidRPr="00E526E1" w:rsidRDefault="00422EFD" w:rsidP="00E526E1">
            <w:pPr>
              <w:spacing w:after="0" w:line="240" w:lineRule="auto"/>
              <w:rPr>
                <w:rFonts w:ascii="TimesLT" w:hAnsi="TimesLT"/>
                <w:sz w:val="20"/>
                <w:szCs w:val="20"/>
                <w:lang w:eastAsia="lt-LT"/>
              </w:rPr>
            </w:pPr>
          </w:p>
        </w:tc>
        <w:tc>
          <w:tcPr>
            <w:tcW w:w="0" w:type="auto"/>
            <w:vAlign w:val="center"/>
          </w:tcPr>
          <w:p w:rsidR="00422EFD" w:rsidRPr="00E526E1" w:rsidRDefault="00422EFD" w:rsidP="00E526E1">
            <w:pPr>
              <w:spacing w:after="0" w:line="240" w:lineRule="auto"/>
              <w:rPr>
                <w:rFonts w:ascii="TimesLT" w:hAnsi="TimesLT"/>
                <w:sz w:val="20"/>
                <w:szCs w:val="20"/>
                <w:lang w:eastAsia="lt-LT"/>
              </w:rPr>
            </w:pPr>
          </w:p>
        </w:tc>
        <w:tc>
          <w:tcPr>
            <w:tcW w:w="0" w:type="auto"/>
            <w:vAlign w:val="center"/>
          </w:tcPr>
          <w:p w:rsidR="00422EFD" w:rsidRPr="00E526E1" w:rsidRDefault="00422EFD" w:rsidP="00E526E1">
            <w:pPr>
              <w:spacing w:after="0" w:line="240" w:lineRule="auto"/>
              <w:rPr>
                <w:rFonts w:ascii="TimesLT" w:hAnsi="TimesLT"/>
                <w:sz w:val="20"/>
                <w:szCs w:val="20"/>
                <w:lang w:eastAsia="lt-LT"/>
              </w:rPr>
            </w:pPr>
          </w:p>
        </w:tc>
      </w:tr>
      <w:tr w:rsidR="00422EFD" w:rsidRPr="00C04F70" w:rsidTr="00E526E1">
        <w:tc>
          <w:tcPr>
            <w:tcW w:w="0" w:type="auto"/>
            <w:gridSpan w:val="4"/>
            <w:tcBorders>
              <w:top w:val="single" w:sz="6" w:space="0" w:color="000000"/>
              <w:bottom w:val="single" w:sz="6" w:space="0" w:color="000000"/>
            </w:tcBorders>
          </w:tcPr>
          <w:p w:rsidR="00422EFD" w:rsidRPr="00E526E1" w:rsidRDefault="00422EFD"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Eurovoc 4.2 terminai:</w:t>
            </w:r>
            <w:r w:rsidRPr="00E526E1">
              <w:rPr>
                <w:rFonts w:ascii="Tahoma" w:hAnsi="Tahoma" w:cs="Tahoma"/>
                <w:b/>
                <w:bCs/>
                <w:sz w:val="14"/>
                <w:szCs w:val="14"/>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422EFD" w:rsidRPr="00E526E1" w:rsidRDefault="00422EFD" w:rsidP="00E526E1">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9378"/>
        <w:gridCol w:w="260"/>
      </w:tblGrid>
      <w:tr w:rsidR="00422EFD" w:rsidRPr="00C04F70" w:rsidTr="00E526E1">
        <w:trPr>
          <w:tblCellSpacing w:w="0" w:type="dxa"/>
        </w:trPr>
        <w:tc>
          <w:tcPr>
            <w:tcW w:w="0" w:type="auto"/>
          </w:tcPr>
          <w:p w:rsidR="00422EFD" w:rsidRPr="00E526E1" w:rsidRDefault="00422EFD" w:rsidP="00E526E1">
            <w:pPr>
              <w:spacing w:after="0" w:line="240" w:lineRule="auto"/>
              <w:jc w:val="right"/>
              <w:rPr>
                <w:rFonts w:ascii="Times New Roman" w:hAnsi="Times New Roman"/>
                <w:b/>
                <w:sz w:val="24"/>
                <w:szCs w:val="24"/>
                <w:lang w:eastAsia="lt-LT"/>
              </w:rPr>
            </w:pPr>
            <w:r w:rsidRPr="00E526E1">
              <w:rPr>
                <w:rFonts w:ascii="Times New Roman" w:hAnsi="Times New Roman"/>
                <w:b/>
                <w:sz w:val="24"/>
                <w:szCs w:val="24"/>
                <w:lang w:eastAsia="lt-LT"/>
              </w:rPr>
              <w:t>Išrašas</w:t>
            </w:r>
          </w:p>
        </w:tc>
        <w:tc>
          <w:tcPr>
            <w:tcW w:w="0" w:type="auto"/>
          </w:tcPr>
          <w:p w:rsidR="00422EFD" w:rsidRPr="00E526E1" w:rsidRDefault="00422EFD" w:rsidP="00E526E1">
            <w:pPr>
              <w:spacing w:after="0" w:line="240" w:lineRule="auto"/>
              <w:jc w:val="right"/>
              <w:rPr>
                <w:rFonts w:ascii="Times New Roman" w:hAnsi="Times New Roman"/>
                <w:sz w:val="14"/>
                <w:szCs w:val="14"/>
                <w:lang w:eastAsia="lt-LT"/>
              </w:rPr>
            </w:pPr>
          </w:p>
        </w:tc>
      </w:tr>
    </w:tbl>
    <w:p w:rsidR="00422EFD" w:rsidRPr="00E526E1" w:rsidRDefault="00422EFD" w:rsidP="00E526E1">
      <w:pPr>
        <w:spacing w:after="0" w:line="240" w:lineRule="auto"/>
        <w:rPr>
          <w:rFonts w:ascii="Tahoma" w:hAnsi="Tahoma" w:cs="Tahoma"/>
          <w:sz w:val="18"/>
          <w:szCs w:val="18"/>
          <w:lang w:eastAsia="lt-LT"/>
        </w:rPr>
      </w:pPr>
      <w:r w:rsidRPr="00906F09">
        <w:rPr>
          <w:rFonts w:ascii="Tahoma" w:hAnsi="Tahoma" w:cs="Tahoma"/>
          <w:sz w:val="18"/>
          <w:szCs w:val="18"/>
          <w:lang w:eastAsia="lt-LT"/>
        </w:rPr>
        <w:pict>
          <v:rect id="_x0000_i1026" style="width:0;height:1.5pt" o:hralign="center" o:hrstd="t" o:hrnoshade="t" o:hr="t" fillcolor="#666" stroked="f"/>
        </w:pict>
      </w:r>
    </w:p>
    <w:p w:rsidR="00422EFD" w:rsidRPr="00E526E1" w:rsidRDefault="00422EFD" w:rsidP="00E526E1">
      <w:pPr>
        <w:spacing w:after="0" w:line="240" w:lineRule="auto"/>
        <w:rPr>
          <w:rFonts w:ascii="TimesLT" w:hAnsi="TimesLT"/>
          <w:sz w:val="20"/>
          <w:szCs w:val="20"/>
          <w:lang w:eastAsia="lt-LT"/>
        </w:rPr>
      </w:pPr>
      <w:r w:rsidRPr="00E526E1">
        <w:rPr>
          <w:rFonts w:ascii="Times New Roman" w:hAnsi="Times New Roman"/>
          <w:sz w:val="20"/>
          <w:szCs w:val="20"/>
          <w:lang w:eastAsia="lt-LT"/>
        </w:rPr>
        <w:t xml:space="preserve">Įstatymas skelbtas: Žin., 1994, Nr. </w:t>
      </w:r>
      <w:hyperlink r:id="rId10" w:history="1">
        <w:r w:rsidRPr="00E526E1">
          <w:rPr>
            <w:rFonts w:ascii="Times New Roman" w:hAnsi="Times New Roman"/>
            <w:color w:val="0000FF"/>
            <w:sz w:val="20"/>
            <w:szCs w:val="20"/>
            <w:u w:val="single"/>
            <w:lang w:eastAsia="lt-LT"/>
          </w:rPr>
          <w:t>55-1049</w:t>
        </w:r>
      </w:hyperlink>
    </w:p>
    <w:p w:rsidR="00422EFD" w:rsidRPr="00E526E1" w:rsidRDefault="00422EFD" w:rsidP="00E526E1">
      <w:pPr>
        <w:spacing w:after="0" w:line="240" w:lineRule="auto"/>
        <w:jc w:val="both"/>
        <w:rPr>
          <w:rFonts w:ascii="TimesLT" w:hAnsi="TimesLT"/>
          <w:sz w:val="20"/>
          <w:szCs w:val="20"/>
          <w:lang w:eastAsia="lt-LT"/>
        </w:rPr>
      </w:pPr>
      <w:r w:rsidRPr="00E526E1">
        <w:rPr>
          <w:rFonts w:ascii="Times New Roman" w:hAnsi="Times New Roman"/>
          <w:sz w:val="20"/>
          <w:szCs w:val="20"/>
          <w:lang w:eastAsia="lt-LT"/>
        </w:rPr>
        <w:t>Neoficialus įstatymo tekstas</w:t>
      </w:r>
    </w:p>
    <w:p w:rsidR="00422EFD" w:rsidRPr="00E526E1" w:rsidRDefault="00422EFD"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LIETUVOS RESPUBLIKOS</w:t>
      </w:r>
    </w:p>
    <w:p w:rsidR="00422EFD" w:rsidRPr="00E526E1" w:rsidRDefault="00422EFD"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VIETOS SAVIVALDOS</w:t>
      </w:r>
    </w:p>
    <w:p w:rsidR="00422EFD" w:rsidRPr="00E526E1" w:rsidRDefault="00422EFD"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ĮSTATYMAS</w:t>
      </w:r>
    </w:p>
    <w:p w:rsidR="00422EFD" w:rsidRPr="00E526E1" w:rsidRDefault="00422EFD" w:rsidP="00E526E1">
      <w:pPr>
        <w:spacing w:after="0" w:line="240" w:lineRule="auto"/>
        <w:jc w:val="center"/>
        <w:rPr>
          <w:rFonts w:ascii="TimesLT" w:hAnsi="TimesLT"/>
          <w:sz w:val="23"/>
          <w:szCs w:val="23"/>
          <w:lang w:eastAsia="lt-LT"/>
        </w:rPr>
      </w:pPr>
      <w:r w:rsidRPr="00E526E1">
        <w:rPr>
          <w:rFonts w:ascii="Times New Roman" w:hAnsi="Times New Roman"/>
          <w:sz w:val="23"/>
          <w:szCs w:val="23"/>
          <w:lang w:eastAsia="lt-LT"/>
        </w:rPr>
        <w:t>1994 m. liepos 7 d. Nr. I-533</w:t>
      </w:r>
    </w:p>
    <w:p w:rsidR="00422EFD" w:rsidRPr="00E526E1" w:rsidRDefault="00422EFD" w:rsidP="00E526E1">
      <w:pPr>
        <w:spacing w:after="0" w:line="240" w:lineRule="auto"/>
        <w:jc w:val="center"/>
        <w:rPr>
          <w:rFonts w:ascii="Times New Roman" w:hAnsi="Times New Roman"/>
          <w:sz w:val="23"/>
          <w:szCs w:val="23"/>
          <w:lang w:eastAsia="lt-LT"/>
        </w:rPr>
      </w:pPr>
      <w:r w:rsidRPr="00E526E1">
        <w:rPr>
          <w:rFonts w:ascii="Times New Roman" w:hAnsi="Times New Roman"/>
          <w:sz w:val="23"/>
          <w:szCs w:val="23"/>
          <w:lang w:eastAsia="lt-LT"/>
        </w:rPr>
        <w:t>Vilnius</w:t>
      </w:r>
    </w:p>
    <w:p w:rsidR="00422EFD" w:rsidRPr="00E526E1" w:rsidRDefault="00422EFD" w:rsidP="00E526E1">
      <w:pPr>
        <w:spacing w:after="0" w:line="240" w:lineRule="auto"/>
        <w:jc w:val="center"/>
        <w:rPr>
          <w:rFonts w:ascii="TimesLT" w:hAnsi="TimesLT"/>
          <w:sz w:val="23"/>
          <w:szCs w:val="23"/>
          <w:lang w:eastAsia="lt-LT"/>
        </w:rPr>
      </w:pPr>
    </w:p>
    <w:p w:rsidR="00422EFD" w:rsidRPr="00E526E1" w:rsidRDefault="00422EFD" w:rsidP="00E526E1">
      <w:pPr>
        <w:spacing w:after="0" w:line="240" w:lineRule="auto"/>
        <w:jc w:val="both"/>
        <w:rPr>
          <w:rFonts w:ascii="TimesLT" w:hAnsi="TimesLT"/>
          <w:sz w:val="23"/>
          <w:szCs w:val="23"/>
          <w:lang w:eastAsia="lt-LT"/>
        </w:rPr>
      </w:pPr>
      <w:r w:rsidRPr="00E526E1">
        <w:rPr>
          <w:rFonts w:ascii="Times New Roman" w:hAnsi="Times New Roman"/>
          <w:b/>
          <w:bCs/>
          <w:i/>
          <w:iCs/>
          <w:sz w:val="23"/>
          <w:szCs w:val="23"/>
          <w:lang w:eastAsia="lt-LT"/>
        </w:rPr>
        <w:t>Nauja įstatymo redakcija nuo 2008 m. spalio 1 d.:</w:t>
      </w:r>
    </w:p>
    <w:p w:rsidR="00422EFD" w:rsidRPr="00E526E1" w:rsidRDefault="00422EFD" w:rsidP="00E526E1">
      <w:pPr>
        <w:spacing w:after="0" w:line="240" w:lineRule="auto"/>
        <w:rPr>
          <w:rFonts w:ascii="Courier New" w:hAnsi="Courier New" w:cs="Courier New"/>
          <w:sz w:val="23"/>
          <w:szCs w:val="23"/>
          <w:lang w:eastAsia="lt-LT"/>
        </w:rPr>
      </w:pPr>
      <w:r w:rsidRPr="00E526E1">
        <w:rPr>
          <w:rFonts w:ascii="Times New Roman" w:hAnsi="Times New Roman"/>
          <w:i/>
          <w:iCs/>
          <w:sz w:val="23"/>
          <w:szCs w:val="23"/>
          <w:lang w:eastAsia="lt-LT"/>
        </w:rPr>
        <w:t xml:space="preserve">Nr. </w:t>
      </w:r>
      <w:hyperlink r:id="rId11" w:history="1">
        <w:r w:rsidRPr="00E526E1">
          <w:rPr>
            <w:rFonts w:ascii="Times New Roman" w:hAnsi="Times New Roman"/>
            <w:i/>
            <w:iCs/>
            <w:color w:val="0000FF"/>
            <w:sz w:val="23"/>
            <w:szCs w:val="23"/>
            <w:u w:val="single"/>
            <w:lang w:eastAsia="lt-LT"/>
          </w:rPr>
          <w:t>X-1722</w:t>
        </w:r>
      </w:hyperlink>
      <w:r w:rsidRPr="00E526E1">
        <w:rPr>
          <w:rFonts w:ascii="Times New Roman" w:hAnsi="Times New Roman"/>
          <w:i/>
          <w:iCs/>
          <w:sz w:val="23"/>
          <w:szCs w:val="23"/>
          <w:lang w:eastAsia="lt-LT"/>
        </w:rPr>
        <w:t>, 2008-09-15, Žin., 2008, Nr. 113-4290 (2008-10-01),</w:t>
      </w:r>
      <w:r w:rsidRPr="00E526E1">
        <w:rPr>
          <w:rFonts w:ascii="Times New Roman" w:hAnsi="Times New Roman"/>
          <w:sz w:val="23"/>
          <w:szCs w:val="23"/>
          <w:lang w:eastAsia="lt-LT"/>
        </w:rPr>
        <w:t xml:space="preserve"> </w:t>
      </w:r>
      <w:hyperlink r:id="rId12" w:history="1">
        <w:r w:rsidRPr="00E526E1">
          <w:rPr>
            <w:rFonts w:ascii="Times New Roman" w:hAnsi="Times New Roman"/>
            <w:b/>
            <w:bCs/>
            <w:i/>
            <w:iCs/>
            <w:color w:val="0000FF"/>
            <w:sz w:val="23"/>
            <w:szCs w:val="23"/>
            <w:u w:val="single"/>
            <w:lang w:eastAsia="lt-LT"/>
          </w:rPr>
          <w:t>atitaisymas</w:t>
        </w:r>
      </w:hyperlink>
      <w:r w:rsidRPr="00E526E1">
        <w:rPr>
          <w:rFonts w:ascii="Times New Roman" w:hAnsi="Times New Roman"/>
          <w:b/>
          <w:bCs/>
          <w:i/>
          <w:iCs/>
          <w:sz w:val="23"/>
          <w:szCs w:val="23"/>
          <w:lang w:eastAsia="lt-LT"/>
        </w:rPr>
        <w:t xml:space="preserve"> skelbtas: Žin., 2011, Nr. 45</w:t>
      </w:r>
    </w:p>
    <w:p w:rsidR="00422EFD" w:rsidRPr="00E526E1" w:rsidRDefault="00422EFD" w:rsidP="00E526E1">
      <w:pPr>
        <w:spacing w:after="0" w:line="240" w:lineRule="auto"/>
        <w:ind w:firstLine="720"/>
        <w:jc w:val="both"/>
        <w:rPr>
          <w:rFonts w:ascii="Times New Roman" w:hAnsi="Times New Roman"/>
          <w:b/>
          <w:bCs/>
          <w:color w:val="000000"/>
          <w:sz w:val="23"/>
          <w:szCs w:val="23"/>
          <w:lang w:eastAsia="lt-LT"/>
        </w:rPr>
      </w:pPr>
      <w:bookmarkStart w:id="0" w:name="straipsnis16"/>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b/>
          <w:bCs/>
          <w:color w:val="000000"/>
          <w:sz w:val="23"/>
          <w:szCs w:val="23"/>
          <w:lang w:eastAsia="lt-LT"/>
        </w:rPr>
        <w:t>16 straipsnis. Savivaldybės tarybos kompetencija</w:t>
      </w:r>
      <w:bookmarkEnd w:id="0"/>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 Savivaldybės tarybos kompetencija yra išimtinė ir paprastoji.</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 Išimtinė savivaldybės tarybos kompetencija: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 reglamento tvirtinimas. Reglamente, be kitų klausimų, turi būti numatytos pagrindinės bendravimo su gyventojais formos ir būdai, užtikrinantys vietos savivaldos principų ir teisės įgyvendinimą bendruomenės interesais;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 mero rinkimai, jo atleidimas iš pareigų prieš terminą, mero darbo užmokesčio nustatymas;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mero pavaduotojų skaičiaus nustatymas, mero pavaduotojo (pavaduotojų) skyrimas mero teikimu ir atleidimas iš pareigų prieš terminą, mero pavaduotojo (pavaduotojų) darbo užmokesčio nustatymas įstatymų nustatyta tvarka;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 mero pavaduotojo (pavaduotojų) veiklos sričių nustatymas mero teikimu;</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5) sprendimo dėl savivaldybės tarybos kolegijos sudarymo priėmimas ir savivaldybės tarybos kolegijos sudarymas mero teikimu;</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savivaldybės tarybos komitetų, komisijų, kitų savivaldybės darbui organizuoti reikalingų darinių ir įstatymuose numatytų kitų komisijų sudarymas ir jų nuostatų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 Kontrolės komiteto pirmininko ir jo pavaduotojo skyrimas, Kontrolės komiteto veiklos programos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11) sprendimų dėl mero politinio (asmeninio) pasitikėjimo valstybės tarnautojų pareigybių steigimo, jų skaičiaus nustatymo ir savivaldybės tarybos sekretoriato sudarymo priėmimas mero siūlymu;</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422EFD" w:rsidRPr="00E526E1" w:rsidRDefault="00422EFD" w:rsidP="00E526E1">
      <w:pPr>
        <w:shd w:val="clear" w:color="auto" w:fill="FFFFFF"/>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 xml:space="preserve">14) gyvenamųjų vietovių ar jų dalių suskirstymo (sugrupavimo) į seniūnaitijas tvirtinimas savivaldybės administracijos direktoriaus teikimu; </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15) savivaldybės biudžeto ir savivaldybės konsoliduotųjų ataskaitų rinkinio tvirtinimas Biudžeto sandaros įstatymo ir Viešojo sektoriaus atskaitomybės įstatymo nustatyta tvarka, prireikus savivaldybės biudžeto tikslinimas;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16) sprendimo dėl mero fondo sudarymo, mero fondo dydžio, naudojimo ir atsiskaitymo tvarkos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17) sprendimų dėl papildomų ir planą viršijančių savivaldybės biudžeto pajamų ir kitų piniginių lėšų paskirstymo, tikslinės paskirties ir specializuotų fondų sudarymo ir naudojimo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20) pasiūlymų valstybės institucijoms dėl savivaldybės teritorijoje esančių šių institucijų padalinių veiklos gerinimo teikimas, prireikus šių padalinių vadovų išklausymas reglamento nustatyta tvarka;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22) sprendimų dėl viešųjų ir privačių juridinių asmenų (kurių dalininkė yra savivaldybė) steigimo, reorganizavimo, likvidavimo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23) sprendimų dėl bendrų su kitomis savivaldybėmis įmonių steigimo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24) sprendimų dėl tam tikros veiklos nepriklausomo audito atlikimo savivaldybės įstaigose ar savivaldybės kontroliuojamose įmonėse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25) savivaldybės vardu sudaromų sutarčių pasirašymo tvarkos aprašo tvirtinimas; šiame apraše turi būti nustatyta, kokios sutartys negali būti sudaromos be išankstinio savivaldybės tarybos pritarimo;</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27) sprendimų dėl savivaldybei priskirtos valstybinės žemės ir kito valstybės turto valdymo, naudojimo ir disponavimo juo patikėjimo teise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30) sprendimų dėl socialinės ir gamybinės infrastruktūros objektų projektavimo ir statybos, dėl pavedimo savivaldybės administracijai ir kitiems subjektams atlikti šių darbų užsakovo funkcijas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31) sprendimų dėl socialinio būsto fondo sudarymo (statybos, pirkimo ir t. t.) tvarkos, būsto suteikimo tvarkos ir dėl savivaldybės gyvenamųjų patalpų nuomos mokesčio dydžio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32)</w:t>
      </w:r>
      <w:r w:rsidRPr="00E526E1">
        <w:rPr>
          <w:rFonts w:ascii="Times New Roman" w:hAnsi="Times New Roman"/>
          <w:i/>
          <w:iCs/>
          <w:sz w:val="23"/>
          <w:szCs w:val="23"/>
          <w:lang w:eastAsia="lt-LT"/>
        </w:rPr>
        <w:t xml:space="preserve"> </w:t>
      </w:r>
      <w:r w:rsidRPr="00E526E1">
        <w:rPr>
          <w:rFonts w:ascii="Times New Roman" w:hAnsi="Times New Roman"/>
          <w:sz w:val="23"/>
          <w:szCs w:val="23"/>
          <w:lang w:eastAsia="lt-LT"/>
        </w:rPr>
        <w:t>teritorijų planavimo dokumentų tvirtinimas įstatymų nustatyta tvarka, išskyrus specialiųjų ir detaliųjų planų tvirtinimą;</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33) savivaldybės saugomų teritorijų steigimas pagal Saugomų teritorijų įstatymo nustatytą tvarką, savivaldybės saugomų vietinės reikšmės gamtos ir kultūros paveldo objektų skelbimas;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36) taisyklių, už kurių pažeidimą atsiranda administracinė atsakomybė, ir kitų taisyklių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 xml:space="preserve">nustatymas įstatymų nustatyta tvarka; </w:t>
      </w:r>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39) savivaldybės biudžetinės įstaigos vardu gautos paramos skirstymo taisyklių nustatymas;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40) savivaldybės strateginių plėtros ir veiklos planų,</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socialinių, ekonominių, kaimo plėtros ir kitų programų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42) sprendimų dėl jungimosi į savivaldybių sąjungas, dėl bendradarbiavimo su užsienio šalių savivaldybėmis ar prisijungimo prie tarptautinių savivaldos organizacijų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43) savivaldybės tarybos narių delegavimas į įstatymų nustatytas regionines tarybas, komisijas ir įgaliojimų jiems suteikimas reglamento nustatyta tvarka;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44) sprendimų skelbti vietos gyventojų apklausą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Paprastoji savivaldybės tarybos kompetencija;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2) savivaldybės biudžetinių įstaigų finansinių ataskaitų rinkinių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 savivaldybės viešųjų įstaigų (kurių savininkė yra savivaldybė) kolegialių organų sudarymas, kai tai numatyta viešosios įstaigos įstatuose;</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5) savivaldybės viešųjų įstaigų (kurių savininkė yra savivaldybė) finansinių ataskaitų rinkinių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savivaldybės viešųjų įstaigų (kurių savininkė yra savivaldybė) vidaus kontrolės tvarkos nustatymas;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w:t>
      </w:r>
      <w:r w:rsidRPr="00E526E1">
        <w:rPr>
          <w:rFonts w:ascii="Times New Roman" w:hAnsi="Times New Roman"/>
          <w:i/>
          <w:iCs/>
          <w:sz w:val="23"/>
          <w:szCs w:val="23"/>
          <w:lang w:eastAsia="lt-LT"/>
        </w:rPr>
        <w:t xml:space="preserve"> </w:t>
      </w:r>
      <w:r w:rsidRPr="00E526E1">
        <w:rPr>
          <w:rFonts w:ascii="Times New Roman" w:hAnsi="Times New Roman"/>
          <w:sz w:val="23"/>
          <w:szCs w:val="23"/>
          <w:lang w:eastAsia="lt-LT"/>
        </w:rPr>
        <w:t>sprendimų dėl valstybės socialinių ir ekonominių programų tikslinių lėšų, kitų valstybės fondų lėšų ir materialiojo turto paskirstymo savivaldybės biudžetinėms įstaigoms priėmimas;</w:t>
      </w:r>
    </w:p>
    <w:p w:rsidR="00422EFD" w:rsidRPr="00E526E1" w:rsidRDefault="00422EFD"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8) savivaldybės lygmens specialiųjų ir detaliųjų planų tvirtinimas;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9) juridinio asmens dalyvio kompetencijai pagal įstatymus priskirtų teisių įgyvendinimas ir pareigų vykdymas;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10) sprendimų dėl savivaldybės valdomo išlikusio nekilnojamojo turto nuosavybės teisių atkūrimo religinėms bendrijoms ir bendruomenėms priėmimas;</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12) sprendimų dėl pagrindinės žemės naudojimo paskirties keitimo priėmimas teisės aktų nustatytais atvejais ir tvarka;</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13) sprendimų dėl patalpų suteikimo Seimo nariams pagal Lietuvos Respublikos Seimo statutą.</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highlight w:val="lightGray"/>
          <w:lang w:eastAsia="lt-LT"/>
        </w:rPr>
        <w:t>4. Jeigu teisės aktuose yra nustatyta papildomų įgaliojimų savivaldybei, sprendimų dėl tokių įgaliojimų vykdymo priėmimo iniciatyva, neperžengiant nustatytų įgaliojimų, priklauso savivaldybės tarybai.</w:t>
      </w:r>
      <w:r w:rsidRPr="00E526E1">
        <w:rPr>
          <w:rFonts w:ascii="Times New Roman" w:hAnsi="Times New Roman"/>
          <w:sz w:val="23"/>
          <w:szCs w:val="23"/>
          <w:lang w:eastAsia="lt-LT"/>
        </w:rPr>
        <w:t xml:space="preserve"> </w:t>
      </w:r>
    </w:p>
    <w:p w:rsidR="00422EFD" w:rsidRPr="00E526E1" w:rsidRDefault="00422EFD" w:rsidP="00E526E1">
      <w:pPr>
        <w:spacing w:after="0" w:line="240" w:lineRule="auto"/>
        <w:ind w:firstLine="720"/>
        <w:jc w:val="both"/>
        <w:rPr>
          <w:rFonts w:ascii="Times New Roman" w:hAnsi="Times New Roman"/>
          <w:b/>
          <w:bCs/>
          <w:sz w:val="23"/>
          <w:szCs w:val="23"/>
          <w:lang w:eastAsia="lt-LT"/>
        </w:rPr>
      </w:pPr>
      <w:r w:rsidRPr="00E526E1">
        <w:rPr>
          <w:rFonts w:ascii="Times New Roman" w:hAnsi="Times New Roman"/>
          <w:sz w:val="23"/>
          <w:szCs w:val="23"/>
          <w:lang w:eastAsia="lt-LT"/>
        </w:rPr>
        <w:t xml:space="preserve">5. Savivaldybės taryba reglamento nustatyta tvarka prižiūri savivaldybės vykdomąsias institucijas ir kitus subjektus, tiesiogiai įgyvendinančius valstybines (perduotas savivaldybėms) funkcijas. </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Išimtinei savivaldybės tarybos kompetencijai priskirtų įgaliojimų savivaldybės taryba negali perduoti jokiai kitai savivaldybės institucijai ar įstaigai.</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22EFD" w:rsidRPr="00E526E1" w:rsidRDefault="00422EFD" w:rsidP="00E526E1">
      <w:pPr>
        <w:spacing w:after="0" w:line="240" w:lineRule="auto"/>
        <w:jc w:val="both"/>
        <w:rPr>
          <w:rFonts w:ascii="TimesLT" w:hAnsi="TimesLT"/>
          <w:sz w:val="23"/>
          <w:szCs w:val="23"/>
          <w:lang w:eastAsia="lt-LT"/>
        </w:rPr>
      </w:pPr>
      <w:r w:rsidRPr="00E526E1">
        <w:rPr>
          <w:rFonts w:ascii="Times New Roman" w:hAnsi="Times New Roman"/>
          <w:i/>
          <w:iCs/>
          <w:sz w:val="23"/>
          <w:szCs w:val="23"/>
          <w:lang w:eastAsia="lt-LT"/>
        </w:rPr>
        <w:t>Straipsnio pakeitimai:</w:t>
      </w:r>
    </w:p>
    <w:p w:rsidR="00422EFD" w:rsidRPr="00E526E1" w:rsidRDefault="00422EFD" w:rsidP="00E526E1">
      <w:pPr>
        <w:spacing w:after="0" w:line="240" w:lineRule="auto"/>
        <w:jc w:val="both"/>
        <w:rPr>
          <w:rFonts w:ascii="Courier New" w:hAnsi="Courier New" w:cs="Courier New"/>
          <w:sz w:val="23"/>
          <w:szCs w:val="23"/>
          <w:lang w:eastAsia="lt-LT"/>
        </w:rPr>
      </w:pPr>
      <w:r w:rsidRPr="00E526E1">
        <w:rPr>
          <w:rFonts w:ascii="Times New Roman" w:hAnsi="Times New Roman"/>
          <w:i/>
          <w:iCs/>
          <w:sz w:val="23"/>
          <w:szCs w:val="23"/>
          <w:lang w:eastAsia="lt-LT"/>
        </w:rPr>
        <w:t xml:space="preserve">Nr. </w:t>
      </w:r>
      <w:hyperlink r:id="rId13" w:history="1">
        <w:r w:rsidRPr="00E526E1">
          <w:rPr>
            <w:rFonts w:ascii="Times New Roman" w:hAnsi="Times New Roman"/>
            <w:i/>
            <w:iCs/>
            <w:color w:val="0000FF"/>
            <w:sz w:val="23"/>
            <w:szCs w:val="23"/>
            <w:u w:val="single"/>
            <w:lang w:eastAsia="lt-LT"/>
          </w:rPr>
          <w:t>X-1830</w:t>
        </w:r>
      </w:hyperlink>
      <w:r w:rsidRPr="00E526E1">
        <w:rPr>
          <w:rFonts w:ascii="Times New Roman" w:hAnsi="Times New Roman"/>
          <w:i/>
          <w:iCs/>
          <w:sz w:val="23"/>
          <w:szCs w:val="23"/>
          <w:lang w:eastAsia="lt-LT"/>
        </w:rPr>
        <w:t>, 2008-11-14, Žin., 2008, Nr. 137-5379 (2008-11-29)</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4" w:history="1">
        <w:r w:rsidRPr="00E526E1">
          <w:rPr>
            <w:rFonts w:ascii="Times New Roman" w:hAnsi="Times New Roman"/>
            <w:i/>
            <w:iCs/>
            <w:color w:val="0000FF"/>
            <w:sz w:val="23"/>
            <w:szCs w:val="23"/>
            <w:u w:val="single"/>
            <w:lang w:eastAsia="lt-LT"/>
          </w:rPr>
          <w:t>XI-300</w:t>
        </w:r>
      </w:hyperlink>
      <w:r w:rsidRPr="00E526E1">
        <w:rPr>
          <w:rFonts w:ascii="Times New Roman" w:hAnsi="Times New Roman"/>
          <w:i/>
          <w:iCs/>
          <w:sz w:val="23"/>
          <w:szCs w:val="23"/>
          <w:lang w:eastAsia="lt-LT"/>
        </w:rPr>
        <w:t>, 2009-06-16, Žin., 2009, Nr. 77-3165 (2009-06-30)</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5" w:history="1">
        <w:r w:rsidRPr="00E526E1">
          <w:rPr>
            <w:rFonts w:ascii="Times New Roman" w:hAnsi="Times New Roman"/>
            <w:i/>
            <w:iCs/>
            <w:color w:val="0000FF"/>
            <w:sz w:val="23"/>
            <w:szCs w:val="23"/>
            <w:u w:val="single"/>
            <w:lang w:eastAsia="lt-LT"/>
          </w:rPr>
          <w:t>XI-620</w:t>
        </w:r>
      </w:hyperlink>
      <w:r w:rsidRPr="00E526E1">
        <w:rPr>
          <w:rFonts w:ascii="Times New Roman" w:hAnsi="Times New Roman"/>
          <w:i/>
          <w:iCs/>
          <w:sz w:val="23"/>
          <w:szCs w:val="23"/>
          <w:lang w:eastAsia="lt-LT"/>
        </w:rPr>
        <w:t>, 2009-12-22, Žin., 2009, Nr. 159-7206 (2009-12-31)</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6" w:history="1">
        <w:r w:rsidRPr="00E526E1">
          <w:rPr>
            <w:rFonts w:ascii="Times New Roman" w:hAnsi="Times New Roman"/>
            <w:i/>
            <w:iCs/>
            <w:color w:val="0000FF"/>
            <w:sz w:val="23"/>
            <w:szCs w:val="23"/>
            <w:u w:val="single"/>
            <w:lang w:eastAsia="lt-LT"/>
          </w:rPr>
          <w:t>XI-682</w:t>
        </w:r>
      </w:hyperlink>
      <w:r w:rsidRPr="00E526E1">
        <w:rPr>
          <w:rFonts w:ascii="Times New Roman" w:hAnsi="Times New Roman"/>
          <w:i/>
          <w:iCs/>
          <w:sz w:val="23"/>
          <w:szCs w:val="23"/>
          <w:lang w:eastAsia="lt-LT"/>
        </w:rPr>
        <w:t>, 2010-02-11, Žin., 2010, Nr. 25-1177 (2010-03-02)</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7" w:history="1">
        <w:r w:rsidRPr="00E526E1">
          <w:rPr>
            <w:rFonts w:ascii="Times New Roman" w:hAnsi="Times New Roman"/>
            <w:i/>
            <w:iCs/>
            <w:color w:val="0000FF"/>
            <w:sz w:val="23"/>
            <w:szCs w:val="23"/>
            <w:u w:val="single"/>
            <w:lang w:eastAsia="lt-LT"/>
          </w:rPr>
          <w:t>XI-770</w:t>
        </w:r>
      </w:hyperlink>
      <w:r w:rsidRPr="00E526E1">
        <w:rPr>
          <w:rFonts w:ascii="Times New Roman" w:hAnsi="Times New Roman"/>
          <w:i/>
          <w:iCs/>
          <w:sz w:val="23"/>
          <w:szCs w:val="23"/>
          <w:lang w:eastAsia="lt-LT"/>
        </w:rPr>
        <w:t>, 2010-04-20, Žin., 2010, Nr. 51-2480 (2010-05-04)</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8" w:history="1">
        <w:r w:rsidRPr="00E526E1">
          <w:rPr>
            <w:rFonts w:ascii="Times New Roman" w:hAnsi="Times New Roman"/>
            <w:i/>
            <w:iCs/>
            <w:color w:val="0000FF"/>
            <w:sz w:val="23"/>
            <w:szCs w:val="23"/>
            <w:u w:val="single"/>
            <w:lang w:eastAsia="lt-LT"/>
          </w:rPr>
          <w:t>XI-971</w:t>
        </w:r>
      </w:hyperlink>
      <w:r w:rsidRPr="00E526E1">
        <w:rPr>
          <w:rFonts w:ascii="Times New Roman" w:hAnsi="Times New Roman"/>
          <w:i/>
          <w:iCs/>
          <w:sz w:val="23"/>
          <w:szCs w:val="23"/>
          <w:lang w:eastAsia="lt-LT"/>
        </w:rPr>
        <w:t>, 2010-06-30, Žin., 2010, Nr. 86-4525 (2010-07-20)</w:t>
      </w:r>
    </w:p>
    <w:p w:rsidR="00422EFD" w:rsidRPr="00E526E1" w:rsidRDefault="00422EFD"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9" w:history="1">
        <w:r w:rsidRPr="00E526E1">
          <w:rPr>
            <w:rFonts w:ascii="Times New Roman" w:hAnsi="Times New Roman"/>
            <w:i/>
            <w:iCs/>
            <w:color w:val="0000FF"/>
            <w:sz w:val="23"/>
            <w:szCs w:val="23"/>
            <w:u w:val="single"/>
            <w:lang w:eastAsia="lt-LT"/>
          </w:rPr>
          <w:t>XI-1327</w:t>
        </w:r>
      </w:hyperlink>
      <w:r w:rsidRPr="00E526E1">
        <w:rPr>
          <w:rFonts w:ascii="Times New Roman" w:hAnsi="Times New Roman"/>
          <w:i/>
          <w:iCs/>
          <w:sz w:val="23"/>
          <w:szCs w:val="23"/>
          <w:lang w:eastAsia="lt-LT"/>
        </w:rPr>
        <w:t>, 2011-04-19, Žin., 2011, Nr. 52-2504 (2011-05-03)</w:t>
      </w:r>
    </w:p>
    <w:p w:rsidR="00422EFD" w:rsidRPr="00E526E1" w:rsidRDefault="00422EFD" w:rsidP="00E526E1">
      <w:pPr>
        <w:spacing w:after="0" w:line="240" w:lineRule="auto"/>
        <w:ind w:firstLine="720"/>
        <w:jc w:val="both"/>
        <w:rPr>
          <w:rFonts w:ascii="Times New Roman" w:hAnsi="Times New Roman"/>
          <w:b/>
          <w:bCs/>
          <w:color w:val="000000"/>
          <w:sz w:val="23"/>
          <w:szCs w:val="23"/>
          <w:lang w:eastAsia="lt-LT"/>
        </w:rPr>
      </w:pPr>
      <w:bookmarkStart w:id="1" w:name="straipsnis18"/>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b/>
          <w:bCs/>
          <w:color w:val="000000"/>
          <w:sz w:val="23"/>
          <w:szCs w:val="23"/>
          <w:lang w:eastAsia="lt-LT"/>
        </w:rPr>
        <w:t>18 straipsnis. Nuostatos dėl teisės aktų sustabdymo, panaikinimo, apskundimo</w:t>
      </w:r>
      <w:bookmarkEnd w:id="1"/>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highlight w:val="lightGray"/>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E526E1">
        <w:rPr>
          <w:rFonts w:ascii="Times New Roman" w:hAnsi="Times New Roman"/>
          <w:b/>
          <w:bCs/>
          <w:sz w:val="23"/>
          <w:szCs w:val="23"/>
          <w:lang w:eastAsia="lt-LT"/>
        </w:rPr>
        <w:t xml:space="preserve"> </w:t>
      </w:r>
    </w:p>
    <w:p w:rsidR="00422EFD" w:rsidRPr="00E526E1" w:rsidRDefault="00422EFD"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Bet kuri šio straipsnio 1</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22EFD" w:rsidRDefault="00422EFD" w:rsidP="00E526E1">
      <w:pPr>
        <w:spacing w:after="0" w:line="240" w:lineRule="auto"/>
        <w:ind w:firstLine="720"/>
        <w:jc w:val="both"/>
        <w:rPr>
          <w:rFonts w:ascii="Times New Roman" w:hAnsi="Times New Roman"/>
          <w:sz w:val="23"/>
          <w:szCs w:val="23"/>
          <w:lang w:eastAsia="lt-LT"/>
        </w:rPr>
      </w:pPr>
      <w:r w:rsidRPr="00E526E1">
        <w:rPr>
          <w:rFonts w:ascii="Times New Roman" w:hAnsi="Times New Roman"/>
          <w:sz w:val="23"/>
          <w:szCs w:val="23"/>
          <w:lang w:eastAsia="lt-LT"/>
        </w:rPr>
        <w:t>3.</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 xml:space="preserve">Savivaldybių institucijų ir kitų savivaldybės viešojo administravimo subjektų priimti administraciniai teisės aktai gali būti skundžiami teismui. </w:t>
      </w:r>
    </w:p>
    <w:p w:rsidR="00422EFD" w:rsidRDefault="00422EFD" w:rsidP="00E526E1">
      <w:pPr>
        <w:spacing w:after="0" w:line="240" w:lineRule="auto"/>
        <w:ind w:firstLine="720"/>
        <w:jc w:val="both"/>
        <w:rPr>
          <w:rFonts w:ascii="Times New Roman" w:hAnsi="Times New Roman"/>
          <w:sz w:val="23"/>
          <w:szCs w:val="23"/>
          <w:lang w:eastAsia="lt-LT"/>
        </w:rPr>
      </w:pPr>
    </w:p>
    <w:p w:rsidR="00422EFD" w:rsidRPr="00E526E1" w:rsidRDefault="00422EFD" w:rsidP="00E526E1">
      <w:pPr>
        <w:spacing w:after="0" w:line="240" w:lineRule="auto"/>
        <w:ind w:firstLine="720"/>
        <w:jc w:val="both"/>
        <w:rPr>
          <w:sz w:val="23"/>
          <w:szCs w:val="23"/>
        </w:rPr>
      </w:pPr>
      <w:r>
        <w:rPr>
          <w:rFonts w:ascii="Times New Roman" w:hAnsi="Times New Roman"/>
          <w:sz w:val="23"/>
          <w:szCs w:val="23"/>
          <w:lang w:eastAsia="lt-LT"/>
        </w:rPr>
        <w:tab/>
      </w:r>
      <w:r>
        <w:rPr>
          <w:rFonts w:ascii="Times New Roman" w:hAnsi="Times New Roman"/>
          <w:sz w:val="23"/>
          <w:szCs w:val="23"/>
          <w:lang w:eastAsia="lt-LT"/>
        </w:rPr>
        <w:tab/>
        <w:t>_____________________________________</w:t>
      </w:r>
      <w:bookmarkStart w:id="2" w:name="_GoBack"/>
      <w:bookmarkEnd w:id="2"/>
    </w:p>
    <w:sectPr w:rsidR="00422EFD" w:rsidRPr="00E526E1" w:rsidSect="00906F0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6E1"/>
    <w:rsid w:val="00022FC6"/>
    <w:rsid w:val="0016075C"/>
    <w:rsid w:val="00422EFD"/>
    <w:rsid w:val="00906F09"/>
    <w:rsid w:val="00C04F70"/>
    <w:rsid w:val="00DB3E8E"/>
    <w:rsid w:val="00E369D8"/>
    <w:rsid w:val="00E526E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422905">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35991" TargetMode="External"/><Relationship Id="rId13" Type="http://schemas.openxmlformats.org/officeDocument/2006/relationships/hyperlink" Target="http://www3.lrs.lt/cgi-bin/preps2?a=331624&amp;b=" TargetMode="External"/><Relationship Id="rId18" Type="http://schemas.openxmlformats.org/officeDocument/2006/relationships/hyperlink" Target="http://www3.lrs.lt/cgi-bin/preps2?a=377644&amp;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3.lrs.lt/pls/inter3/dokpaieska.showdoc_bin?p_id=435991" TargetMode="External"/><Relationship Id="rId12" Type="http://schemas.openxmlformats.org/officeDocument/2006/relationships/hyperlink" Target="http://www3.lrs.lt/pls/inter/dokpaieska.showdoc_l?p_id=397297&amp;p_query=&amp;p_tr2=" TargetMode="External"/><Relationship Id="rId17" Type="http://schemas.openxmlformats.org/officeDocument/2006/relationships/hyperlink" Target="http://www3.lrs.lt/cgi-bin/preps2?a=370485&amp;b=" TargetMode="External"/><Relationship Id="rId2" Type="http://schemas.openxmlformats.org/officeDocument/2006/relationships/settings" Target="settings.xml"/><Relationship Id="rId16" Type="http://schemas.openxmlformats.org/officeDocument/2006/relationships/hyperlink" Target="http://www3.lrs.lt/cgi-bin/preps2?a=365492&amp;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usije_l?p_id=435991&amp;p_rys_id=-1" TargetMode="External"/><Relationship Id="rId11" Type="http://schemas.openxmlformats.org/officeDocument/2006/relationships/hyperlink" Target="http://www3.lrs.lt/cgi-bin/preps2?a=327811&amp;b=" TargetMode="External"/><Relationship Id="rId5" Type="http://schemas.openxmlformats.org/officeDocument/2006/relationships/hyperlink" Target="http://www3.lrs.lt/pls/inter3/dokpaieska.susije_l?p_id=435991" TargetMode="External"/><Relationship Id="rId15" Type="http://schemas.openxmlformats.org/officeDocument/2006/relationships/hyperlink" Target="http://www3.lrs.lt/cgi-bin/preps2?a=362025&amp;b=" TargetMode="External"/><Relationship Id="rId10" Type="http://schemas.openxmlformats.org/officeDocument/2006/relationships/hyperlink" Target="http://www3.lrs.lt/cgi-bin/preps2?a=5884&amp;b=" TargetMode="External"/><Relationship Id="rId19" Type="http://schemas.openxmlformats.org/officeDocument/2006/relationships/hyperlink" Target="http://www3.lrs.lt/cgi-bin/preps2?a=397375&amp;b=" TargetMode="External"/><Relationship Id="rId4" Type="http://schemas.openxmlformats.org/officeDocument/2006/relationships/hyperlink" Target="http://www3.lrs.lt/pls/inter3/dokpaieska.showdoc_l?p_id=435991&amp;p_daug=2" TargetMode="External"/><Relationship Id="rId9" Type="http://schemas.openxmlformats.org/officeDocument/2006/relationships/image" Target="media/image1.png"/><Relationship Id="rId14" Type="http://schemas.openxmlformats.org/officeDocument/2006/relationships/hyperlink" Target="http://www3.lrs.lt/cgi-bin/preps2?a=34727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11894</Words>
  <Characters>6781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Svetlana Vasiliuk</dc:creator>
  <cp:keywords/>
  <dc:description/>
  <cp:lastModifiedBy>V.Palaimiene</cp:lastModifiedBy>
  <cp:revision>2</cp:revision>
  <dcterms:created xsi:type="dcterms:W3CDTF">2013-07-15T12:41:00Z</dcterms:created>
  <dcterms:modified xsi:type="dcterms:W3CDTF">2013-07-15T12:41:00Z</dcterms:modified>
</cp:coreProperties>
</file>